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B7" w:rsidRDefault="001779B7" w:rsidP="00515202">
      <w:pPr>
        <w:ind w:left="0" w:right="0"/>
        <w:jc w:val="center"/>
        <w:rPr>
          <w:b/>
          <w:sz w:val="28"/>
        </w:rPr>
      </w:pPr>
      <w:r>
        <w:rPr>
          <w:noProof/>
          <w:lang w:val="en-US" w:eastAsia="en-US"/>
        </w:rPr>
        <w:drawing>
          <wp:inline distT="0" distB="0" distL="0" distR="0" wp14:anchorId="5FEC1F56" wp14:editId="67B63826">
            <wp:extent cx="6797040" cy="72206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7052" cy="749687"/>
                    </a:xfrm>
                    <a:prstGeom prst="rect">
                      <a:avLst/>
                    </a:prstGeom>
                    <a:noFill/>
                    <a:ln>
                      <a:noFill/>
                    </a:ln>
                  </pic:spPr>
                </pic:pic>
              </a:graphicData>
            </a:graphic>
          </wp:inline>
        </w:drawing>
      </w:r>
    </w:p>
    <w:p w:rsidR="001779B7" w:rsidRDefault="001779B7" w:rsidP="00515202">
      <w:pPr>
        <w:ind w:left="0" w:right="0"/>
        <w:rPr>
          <w:b/>
          <w:sz w:val="28"/>
        </w:rPr>
      </w:pPr>
    </w:p>
    <w:p w:rsidR="004E28A8" w:rsidRPr="004E28A8" w:rsidRDefault="004E28A8" w:rsidP="004E28A8">
      <w:pPr>
        <w:ind w:left="0" w:right="0"/>
        <w:jc w:val="center"/>
        <w:rPr>
          <w:b/>
          <w:sz w:val="32"/>
        </w:rPr>
      </w:pPr>
      <w:r w:rsidRPr="004E28A8">
        <w:rPr>
          <w:b/>
          <w:sz w:val="32"/>
        </w:rPr>
        <w:t>South Riverdale Community Health Centre (SRCHC) Fact Sheet</w:t>
      </w:r>
    </w:p>
    <w:p w:rsidR="004E28A8" w:rsidRDefault="004E28A8" w:rsidP="00515202">
      <w:pPr>
        <w:ind w:left="0" w:right="0"/>
        <w:rPr>
          <w:b/>
          <w:sz w:val="28"/>
        </w:rPr>
      </w:pPr>
    </w:p>
    <w:p w:rsidR="00BD5849" w:rsidRPr="00E839C6" w:rsidRDefault="00BD5849" w:rsidP="00515202">
      <w:pPr>
        <w:ind w:left="0" w:right="0"/>
        <w:rPr>
          <w:b/>
          <w:sz w:val="28"/>
        </w:rPr>
      </w:pPr>
      <w:r w:rsidRPr="00E839C6">
        <w:rPr>
          <w:b/>
          <w:sz w:val="28"/>
        </w:rPr>
        <w:t>SRCHC</w:t>
      </w:r>
      <w:r w:rsidR="004E28A8">
        <w:rPr>
          <w:b/>
          <w:sz w:val="28"/>
        </w:rPr>
        <w:t xml:space="preserve"> at a G</w:t>
      </w:r>
      <w:r w:rsidR="00B15A4A" w:rsidRPr="00E839C6">
        <w:rPr>
          <w:b/>
          <w:sz w:val="28"/>
        </w:rPr>
        <w:t>lance</w:t>
      </w:r>
    </w:p>
    <w:p w:rsidR="00515202" w:rsidRDefault="00457C8A" w:rsidP="00515202">
      <w:pPr>
        <w:pStyle w:val="ListParagraph"/>
        <w:numPr>
          <w:ilvl w:val="0"/>
          <w:numId w:val="47"/>
        </w:numPr>
        <w:ind w:right="0"/>
        <w:rPr>
          <w:sz w:val="24"/>
        </w:rPr>
      </w:pPr>
      <w:r w:rsidRPr="00515202">
        <w:rPr>
          <w:sz w:val="24"/>
        </w:rPr>
        <w:t>SRCHC has been offering comprehensive primary health care and social supports in the South Riverdale community since 1976</w:t>
      </w:r>
      <w:r w:rsidR="00515202">
        <w:rPr>
          <w:sz w:val="24"/>
        </w:rPr>
        <w:t>.</w:t>
      </w:r>
    </w:p>
    <w:p w:rsidR="00BD5849" w:rsidRPr="00515202" w:rsidRDefault="00457C8A" w:rsidP="00515202">
      <w:pPr>
        <w:pStyle w:val="ListParagraph"/>
        <w:numPr>
          <w:ilvl w:val="0"/>
          <w:numId w:val="47"/>
        </w:numPr>
        <w:ind w:right="0"/>
        <w:rPr>
          <w:sz w:val="24"/>
        </w:rPr>
      </w:pPr>
      <w:r w:rsidRPr="00515202">
        <w:rPr>
          <w:sz w:val="24"/>
        </w:rPr>
        <w:t>Today</w:t>
      </w:r>
      <w:r w:rsidR="00003D82" w:rsidRPr="00515202">
        <w:rPr>
          <w:sz w:val="24"/>
        </w:rPr>
        <w:t xml:space="preserve"> </w:t>
      </w:r>
      <w:r w:rsidR="003B322A" w:rsidRPr="00515202">
        <w:rPr>
          <w:sz w:val="24"/>
        </w:rPr>
        <w:t xml:space="preserve">we have over </w:t>
      </w:r>
      <w:r w:rsidR="00BD5849" w:rsidRPr="00515202">
        <w:rPr>
          <w:sz w:val="24"/>
        </w:rPr>
        <w:t>200 s</w:t>
      </w:r>
      <w:r w:rsidR="003B322A" w:rsidRPr="00515202">
        <w:rPr>
          <w:sz w:val="24"/>
        </w:rPr>
        <w:t xml:space="preserve">taff who work at our </w:t>
      </w:r>
      <w:r w:rsidR="00BD5849" w:rsidRPr="00515202">
        <w:rPr>
          <w:sz w:val="24"/>
        </w:rPr>
        <w:t>5 locations</w:t>
      </w:r>
      <w:r w:rsidR="003B322A" w:rsidRPr="00515202">
        <w:rPr>
          <w:sz w:val="24"/>
        </w:rPr>
        <w:t>.</w:t>
      </w:r>
    </w:p>
    <w:p w:rsidR="00515202" w:rsidRDefault="00457C8A" w:rsidP="00515202">
      <w:pPr>
        <w:pStyle w:val="ListParagraph"/>
        <w:numPr>
          <w:ilvl w:val="0"/>
          <w:numId w:val="32"/>
        </w:numPr>
        <w:ind w:right="0"/>
        <w:rPr>
          <w:sz w:val="24"/>
        </w:rPr>
      </w:pPr>
      <w:r>
        <w:rPr>
          <w:sz w:val="24"/>
        </w:rPr>
        <w:t>SRCHC had an a</w:t>
      </w:r>
      <w:r w:rsidR="00B15A4A" w:rsidRPr="00E839C6">
        <w:rPr>
          <w:sz w:val="24"/>
        </w:rPr>
        <w:t xml:space="preserve">nnual budget of </w:t>
      </w:r>
      <w:r w:rsidR="00E839C6">
        <w:rPr>
          <w:sz w:val="24"/>
        </w:rPr>
        <w:t>$</w:t>
      </w:r>
      <w:r w:rsidR="00B15A4A" w:rsidRPr="00E839C6">
        <w:rPr>
          <w:sz w:val="24"/>
        </w:rPr>
        <w:t>22 million</w:t>
      </w:r>
      <w:r w:rsidR="00E839C6">
        <w:rPr>
          <w:sz w:val="24"/>
        </w:rPr>
        <w:t xml:space="preserve"> in 2022.</w:t>
      </w:r>
      <w:r w:rsidR="00515202">
        <w:rPr>
          <w:sz w:val="24"/>
        </w:rPr>
        <w:t xml:space="preserve"> </w:t>
      </w:r>
      <w:r>
        <w:rPr>
          <w:sz w:val="24"/>
        </w:rPr>
        <w:t xml:space="preserve">Our finding is diversified with </w:t>
      </w:r>
      <w:r w:rsidR="00B15A4A" w:rsidRPr="00F04EA7">
        <w:rPr>
          <w:sz w:val="24"/>
        </w:rPr>
        <w:t xml:space="preserve">56% from Ontario Health and 16% from </w:t>
      </w:r>
      <w:r w:rsidR="00F04EA7">
        <w:rPr>
          <w:sz w:val="24"/>
        </w:rPr>
        <w:t xml:space="preserve">the </w:t>
      </w:r>
      <w:r w:rsidR="00B15A4A" w:rsidRPr="00F04EA7">
        <w:rPr>
          <w:sz w:val="24"/>
        </w:rPr>
        <w:t xml:space="preserve">Ministry of </w:t>
      </w:r>
      <w:r w:rsidR="00E839C6" w:rsidRPr="00F04EA7">
        <w:rPr>
          <w:sz w:val="24"/>
        </w:rPr>
        <w:t>H</w:t>
      </w:r>
      <w:r w:rsidR="00B15A4A" w:rsidRPr="00F04EA7">
        <w:rPr>
          <w:sz w:val="24"/>
        </w:rPr>
        <w:t>ealth</w:t>
      </w:r>
      <w:r w:rsidR="00E839C6" w:rsidRPr="00F04EA7">
        <w:rPr>
          <w:sz w:val="24"/>
        </w:rPr>
        <w:t>.</w:t>
      </w:r>
    </w:p>
    <w:p w:rsidR="00515202" w:rsidRDefault="00515202" w:rsidP="00515202">
      <w:pPr>
        <w:ind w:left="0" w:right="0"/>
        <w:rPr>
          <w:b/>
          <w:sz w:val="28"/>
        </w:rPr>
      </w:pPr>
    </w:p>
    <w:p w:rsidR="00B15A4A" w:rsidRPr="00515202" w:rsidRDefault="00B15A4A" w:rsidP="00515202">
      <w:pPr>
        <w:ind w:left="0" w:right="0"/>
        <w:rPr>
          <w:sz w:val="24"/>
        </w:rPr>
      </w:pPr>
      <w:r w:rsidRPr="00515202">
        <w:rPr>
          <w:b/>
          <w:sz w:val="28"/>
        </w:rPr>
        <w:t>SRCHC Service volumes</w:t>
      </w:r>
    </w:p>
    <w:p w:rsidR="00B15A4A" w:rsidRPr="00E839C6" w:rsidRDefault="00696C35" w:rsidP="00515202">
      <w:pPr>
        <w:pStyle w:val="ListParagraph"/>
        <w:numPr>
          <w:ilvl w:val="0"/>
          <w:numId w:val="32"/>
        </w:numPr>
        <w:ind w:right="0"/>
        <w:rPr>
          <w:sz w:val="24"/>
          <w:szCs w:val="24"/>
        </w:rPr>
      </w:pPr>
      <w:r w:rsidRPr="00E839C6">
        <w:rPr>
          <w:sz w:val="24"/>
          <w:szCs w:val="24"/>
        </w:rPr>
        <w:t>We provide</w:t>
      </w:r>
      <w:r w:rsidR="00D5773E" w:rsidRPr="00E839C6">
        <w:rPr>
          <w:sz w:val="24"/>
          <w:szCs w:val="24"/>
        </w:rPr>
        <w:t xml:space="preserve"> services to 14,500 registered clients</w:t>
      </w:r>
      <w:r w:rsidR="00B15A4A" w:rsidRPr="00E839C6">
        <w:rPr>
          <w:sz w:val="24"/>
          <w:szCs w:val="24"/>
        </w:rPr>
        <w:t xml:space="preserve"> and over 100,000 client visits</w:t>
      </w:r>
      <w:r w:rsidR="00E839C6">
        <w:rPr>
          <w:sz w:val="24"/>
          <w:szCs w:val="24"/>
        </w:rPr>
        <w:t>.</w:t>
      </w:r>
    </w:p>
    <w:p w:rsidR="00003D82" w:rsidRPr="00003D82" w:rsidRDefault="00B15A4A" w:rsidP="00515202">
      <w:pPr>
        <w:pStyle w:val="ListParagraph"/>
        <w:numPr>
          <w:ilvl w:val="0"/>
          <w:numId w:val="32"/>
        </w:numPr>
        <w:ind w:right="0"/>
        <w:rPr>
          <w:sz w:val="24"/>
          <w:szCs w:val="24"/>
        </w:rPr>
      </w:pPr>
      <w:r w:rsidRPr="00E839C6">
        <w:rPr>
          <w:sz w:val="24"/>
          <w:szCs w:val="24"/>
        </w:rPr>
        <w:t>During the</w:t>
      </w:r>
      <w:r w:rsidR="00F30E8C" w:rsidRPr="00E839C6">
        <w:rPr>
          <w:sz w:val="24"/>
          <w:szCs w:val="24"/>
        </w:rPr>
        <w:t xml:space="preserve"> pandemic we geared up to help</w:t>
      </w:r>
      <w:r w:rsidR="00515202">
        <w:rPr>
          <w:sz w:val="24"/>
          <w:szCs w:val="24"/>
        </w:rPr>
        <w:t xml:space="preserve"> address food security. </w:t>
      </w:r>
      <w:r w:rsidRPr="00E839C6">
        <w:rPr>
          <w:sz w:val="24"/>
          <w:szCs w:val="24"/>
        </w:rPr>
        <w:t xml:space="preserve">Last year </w:t>
      </w:r>
      <w:r w:rsidR="00D727B1">
        <w:rPr>
          <w:sz w:val="24"/>
          <w:szCs w:val="24"/>
        </w:rPr>
        <w:t xml:space="preserve">SRCHC </w:t>
      </w:r>
      <w:r w:rsidRPr="00E839C6">
        <w:rPr>
          <w:sz w:val="24"/>
          <w:szCs w:val="24"/>
        </w:rPr>
        <w:t xml:space="preserve">served 20,000 meals to </w:t>
      </w:r>
      <w:r w:rsidRPr="00003D82">
        <w:rPr>
          <w:sz w:val="24"/>
          <w:szCs w:val="24"/>
        </w:rPr>
        <w:t>community members</w:t>
      </w:r>
      <w:r w:rsidR="00F30E8C" w:rsidRPr="00003D82">
        <w:rPr>
          <w:sz w:val="24"/>
          <w:szCs w:val="24"/>
        </w:rPr>
        <w:t>.</w:t>
      </w:r>
    </w:p>
    <w:p w:rsidR="00515202" w:rsidRDefault="00B85643" w:rsidP="00515202">
      <w:pPr>
        <w:pStyle w:val="ListParagraph"/>
        <w:numPr>
          <w:ilvl w:val="0"/>
          <w:numId w:val="32"/>
        </w:numPr>
        <w:ind w:right="0"/>
        <w:rPr>
          <w:sz w:val="24"/>
          <w:szCs w:val="24"/>
        </w:rPr>
      </w:pPr>
      <w:r w:rsidRPr="00003D82">
        <w:rPr>
          <w:sz w:val="24"/>
          <w:szCs w:val="24"/>
        </w:rPr>
        <w:t xml:space="preserve">SRCHC’s </w:t>
      </w:r>
      <w:r w:rsidR="00D727B1" w:rsidRPr="00003D82">
        <w:rPr>
          <w:sz w:val="24"/>
          <w:szCs w:val="24"/>
        </w:rPr>
        <w:t>COVID response work included low barrier</w:t>
      </w:r>
      <w:r w:rsidR="00892C55" w:rsidRPr="00003D82">
        <w:rPr>
          <w:sz w:val="24"/>
          <w:szCs w:val="24"/>
        </w:rPr>
        <w:t xml:space="preserve"> clinics</w:t>
      </w:r>
      <w:r w:rsidR="00D727B1" w:rsidRPr="00003D82">
        <w:rPr>
          <w:sz w:val="24"/>
          <w:szCs w:val="24"/>
        </w:rPr>
        <w:t xml:space="preserve"> and mobile vaccination</w:t>
      </w:r>
      <w:r w:rsidRPr="00003D82">
        <w:rPr>
          <w:sz w:val="24"/>
          <w:szCs w:val="24"/>
        </w:rPr>
        <w:t>,</w:t>
      </w:r>
      <w:r w:rsidR="00D727B1" w:rsidRPr="00003D82">
        <w:rPr>
          <w:sz w:val="24"/>
          <w:szCs w:val="24"/>
        </w:rPr>
        <w:t xml:space="preserve"> providing more than 3,</w:t>
      </w:r>
      <w:r w:rsidR="00892C55" w:rsidRPr="00003D82">
        <w:rPr>
          <w:sz w:val="24"/>
          <w:szCs w:val="24"/>
        </w:rPr>
        <w:t>5</w:t>
      </w:r>
      <w:r w:rsidR="00D727B1" w:rsidRPr="00003D82">
        <w:rPr>
          <w:sz w:val="24"/>
          <w:szCs w:val="24"/>
        </w:rPr>
        <w:t xml:space="preserve">00 first, second, and third doses of COVID-19 vaccine </w:t>
      </w:r>
      <w:r w:rsidR="00892C55" w:rsidRPr="00003D82">
        <w:rPr>
          <w:sz w:val="24"/>
          <w:szCs w:val="24"/>
        </w:rPr>
        <w:t xml:space="preserve">in our local </w:t>
      </w:r>
      <w:r w:rsidR="00D727B1" w:rsidRPr="00003D82">
        <w:rPr>
          <w:sz w:val="24"/>
          <w:szCs w:val="24"/>
        </w:rPr>
        <w:t>community.</w:t>
      </w:r>
    </w:p>
    <w:p w:rsidR="00515202" w:rsidRDefault="00515202" w:rsidP="00515202">
      <w:pPr>
        <w:ind w:left="0" w:right="0"/>
        <w:rPr>
          <w:b/>
          <w:sz w:val="28"/>
        </w:rPr>
      </w:pPr>
    </w:p>
    <w:p w:rsidR="00B15A4A" w:rsidRPr="00515202" w:rsidRDefault="00B15A4A" w:rsidP="00515202">
      <w:pPr>
        <w:ind w:left="0" w:right="0"/>
        <w:rPr>
          <w:sz w:val="24"/>
          <w:szCs w:val="24"/>
        </w:rPr>
      </w:pPr>
      <w:r w:rsidRPr="00515202">
        <w:rPr>
          <w:b/>
          <w:sz w:val="28"/>
        </w:rPr>
        <w:t xml:space="preserve">Primary </w:t>
      </w:r>
      <w:r w:rsidR="00E839C6" w:rsidRPr="00515202">
        <w:rPr>
          <w:b/>
          <w:sz w:val="28"/>
        </w:rPr>
        <w:t xml:space="preserve">Integrated </w:t>
      </w:r>
      <w:r w:rsidRPr="00515202">
        <w:rPr>
          <w:b/>
          <w:sz w:val="28"/>
        </w:rPr>
        <w:t>Care</w:t>
      </w:r>
    </w:p>
    <w:p w:rsidR="00B85643" w:rsidRDefault="00BD5849" w:rsidP="00515202">
      <w:pPr>
        <w:pStyle w:val="ListParagraph"/>
        <w:numPr>
          <w:ilvl w:val="0"/>
          <w:numId w:val="32"/>
        </w:numPr>
        <w:ind w:right="0"/>
        <w:rPr>
          <w:sz w:val="24"/>
        </w:rPr>
      </w:pPr>
      <w:r w:rsidRPr="00E839C6">
        <w:rPr>
          <w:sz w:val="24"/>
        </w:rPr>
        <w:t>Team</w:t>
      </w:r>
      <w:r w:rsidR="003B322A" w:rsidRPr="00E839C6">
        <w:rPr>
          <w:sz w:val="24"/>
        </w:rPr>
        <w:t xml:space="preserve"> based primary care </w:t>
      </w:r>
      <w:r w:rsidR="00B85643">
        <w:rPr>
          <w:sz w:val="24"/>
        </w:rPr>
        <w:t xml:space="preserve">is provided </w:t>
      </w:r>
      <w:r w:rsidR="003B322A" w:rsidRPr="00E839C6">
        <w:rPr>
          <w:sz w:val="24"/>
        </w:rPr>
        <w:t xml:space="preserve">to over 5,000 registered patients who have access </w:t>
      </w:r>
      <w:r w:rsidR="00785783" w:rsidRPr="00E839C6">
        <w:rPr>
          <w:sz w:val="24"/>
        </w:rPr>
        <w:t>to doctors</w:t>
      </w:r>
      <w:r w:rsidR="003B322A" w:rsidRPr="00E839C6">
        <w:rPr>
          <w:sz w:val="24"/>
        </w:rPr>
        <w:t xml:space="preserve">, nurse </w:t>
      </w:r>
      <w:r w:rsidR="00696C35" w:rsidRPr="00E839C6">
        <w:rPr>
          <w:sz w:val="24"/>
        </w:rPr>
        <w:t>practitioners, midwives and</w:t>
      </w:r>
      <w:r w:rsidR="003B322A" w:rsidRPr="00E839C6">
        <w:rPr>
          <w:sz w:val="24"/>
        </w:rPr>
        <w:t xml:space="preserve"> nurses </w:t>
      </w:r>
      <w:r w:rsidR="00696C35" w:rsidRPr="00E839C6">
        <w:rPr>
          <w:sz w:val="24"/>
        </w:rPr>
        <w:t>who provide care</w:t>
      </w:r>
      <w:r w:rsidR="003B322A" w:rsidRPr="00E839C6">
        <w:rPr>
          <w:sz w:val="24"/>
        </w:rPr>
        <w:t xml:space="preserve"> to individuals and families. </w:t>
      </w:r>
    </w:p>
    <w:p w:rsidR="00BD5849" w:rsidRPr="00E839C6" w:rsidRDefault="003B322A" w:rsidP="00515202">
      <w:pPr>
        <w:pStyle w:val="ListParagraph"/>
        <w:numPr>
          <w:ilvl w:val="0"/>
          <w:numId w:val="32"/>
        </w:numPr>
        <w:ind w:right="0"/>
        <w:rPr>
          <w:sz w:val="24"/>
        </w:rPr>
      </w:pPr>
      <w:r w:rsidRPr="00E839C6">
        <w:rPr>
          <w:sz w:val="24"/>
        </w:rPr>
        <w:t>We also have a team of allied health professionals including, social workers, chiropodists, physiotherapist, dietitians and health promoters.</w:t>
      </w:r>
    </w:p>
    <w:p w:rsidR="00515202" w:rsidRDefault="00BD5849" w:rsidP="00515202">
      <w:pPr>
        <w:numPr>
          <w:ilvl w:val="0"/>
          <w:numId w:val="32"/>
        </w:numPr>
        <w:ind w:right="0"/>
        <w:rPr>
          <w:sz w:val="24"/>
        </w:rPr>
      </w:pPr>
      <w:r w:rsidRPr="00E839C6">
        <w:rPr>
          <w:sz w:val="24"/>
        </w:rPr>
        <w:t xml:space="preserve">People come for preventative care, infant and maternal care, help with managing chronic diseases and other important primary care services.   </w:t>
      </w:r>
    </w:p>
    <w:p w:rsidR="00515202" w:rsidRDefault="004E28A8" w:rsidP="00515202">
      <w:pPr>
        <w:ind w:left="0" w:right="0"/>
        <w:rPr>
          <w:sz w:val="24"/>
        </w:rPr>
      </w:pPr>
      <w:r>
        <w:rPr>
          <w:b/>
          <w:noProof/>
          <w:lang w:val="en-US" w:eastAsia="en-US"/>
        </w:rPr>
        <w:drawing>
          <wp:anchor distT="0" distB="0" distL="114300" distR="114300" simplePos="0" relativeHeight="251659264" behindDoc="1" locked="0" layoutInCell="1" allowOverlap="1" wp14:anchorId="7E476DC7" wp14:editId="154B777D">
            <wp:simplePos x="0" y="0"/>
            <wp:positionH relativeFrom="page">
              <wp:align>right</wp:align>
            </wp:positionH>
            <wp:positionV relativeFrom="paragraph">
              <wp:posOffset>-230232</wp:posOffset>
            </wp:positionV>
            <wp:extent cx="3790950" cy="2819400"/>
            <wp:effectExtent l="0" t="0" r="0" b="0"/>
            <wp:wrapThrough wrapText="bothSides">
              <wp:wrapPolygon edited="0">
                <wp:start x="5970" y="1751"/>
                <wp:lineTo x="4559" y="2481"/>
                <wp:lineTo x="4342" y="2773"/>
                <wp:lineTo x="4559" y="4378"/>
                <wp:lineTo x="3908" y="6714"/>
                <wp:lineTo x="3582" y="9049"/>
                <wp:lineTo x="2062" y="11238"/>
                <wp:lineTo x="2062" y="11530"/>
                <wp:lineTo x="2822" y="13719"/>
                <wp:lineTo x="2714" y="14303"/>
                <wp:lineTo x="2714" y="16054"/>
                <wp:lineTo x="3365" y="18389"/>
                <wp:lineTo x="3148" y="19995"/>
                <wp:lineTo x="3473" y="20724"/>
                <wp:lineTo x="4993" y="21454"/>
                <wp:lineTo x="6295" y="21454"/>
                <wp:lineTo x="9443" y="21016"/>
                <wp:lineTo x="10420" y="20724"/>
                <wp:lineTo x="12699" y="19119"/>
                <wp:lineTo x="12591" y="18389"/>
                <wp:lineTo x="13351" y="18389"/>
                <wp:lineTo x="15522" y="16638"/>
                <wp:lineTo x="15522" y="16054"/>
                <wp:lineTo x="21491" y="16054"/>
                <wp:lineTo x="21491" y="15178"/>
                <wp:lineTo x="21057" y="13719"/>
                <wp:lineTo x="21491" y="13427"/>
                <wp:lineTo x="21491" y="9049"/>
                <wp:lineTo x="19863" y="6714"/>
                <wp:lineTo x="19972" y="5838"/>
                <wp:lineTo x="15413" y="4378"/>
                <wp:lineTo x="12699" y="4378"/>
                <wp:lineTo x="12808" y="3357"/>
                <wp:lineTo x="10637" y="2481"/>
                <wp:lineTo x="7055" y="1751"/>
                <wp:lineTo x="5970" y="1751"/>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rchc-treebranch1.png"/>
                    <pic:cNvPicPr/>
                  </pic:nvPicPr>
                  <pic:blipFill rotWithShape="1">
                    <a:blip r:embed="rId9" cstate="print">
                      <a:extLst>
                        <a:ext uri="{28A0092B-C50C-407E-A947-70E740481C1C}">
                          <a14:useLocalDpi xmlns:a14="http://schemas.microsoft.com/office/drawing/2010/main" val="0"/>
                        </a:ext>
                      </a:extLst>
                    </a:blip>
                    <a:srcRect b="5465"/>
                    <a:stretch/>
                  </pic:blipFill>
                  <pic:spPr bwMode="auto">
                    <a:xfrm flipH="1">
                      <a:off x="0" y="0"/>
                      <a:ext cx="3790950" cy="281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6354" w:rsidRDefault="00B15A4A" w:rsidP="00515202">
      <w:pPr>
        <w:ind w:left="0" w:right="0"/>
        <w:rPr>
          <w:b/>
          <w:sz w:val="28"/>
        </w:rPr>
      </w:pPr>
      <w:r w:rsidRPr="00515202">
        <w:rPr>
          <w:b/>
          <w:sz w:val="28"/>
        </w:rPr>
        <w:t>Health Promotion</w:t>
      </w:r>
    </w:p>
    <w:p w:rsidR="00515202" w:rsidRPr="004E28A8" w:rsidRDefault="003B322A" w:rsidP="004E28A8">
      <w:pPr>
        <w:numPr>
          <w:ilvl w:val="0"/>
          <w:numId w:val="32"/>
        </w:numPr>
        <w:ind w:right="0"/>
        <w:rPr>
          <w:sz w:val="24"/>
        </w:rPr>
      </w:pPr>
      <w:r w:rsidRPr="00515202">
        <w:rPr>
          <w:sz w:val="24"/>
          <w:szCs w:val="24"/>
        </w:rPr>
        <w:t xml:space="preserve">We offer health promotion programming </w:t>
      </w:r>
      <w:r w:rsidR="00785783" w:rsidRPr="00515202">
        <w:rPr>
          <w:sz w:val="24"/>
          <w:szCs w:val="24"/>
        </w:rPr>
        <w:t>for seniors</w:t>
      </w:r>
      <w:r w:rsidRPr="00515202">
        <w:rPr>
          <w:sz w:val="24"/>
          <w:szCs w:val="24"/>
        </w:rPr>
        <w:t xml:space="preserve"> </w:t>
      </w:r>
      <w:r w:rsidRPr="004E28A8">
        <w:rPr>
          <w:sz w:val="24"/>
          <w:szCs w:val="24"/>
        </w:rPr>
        <w:t xml:space="preserve">and families that promote wellness and community connection. We also have programming to </w:t>
      </w:r>
      <w:r w:rsidR="00785783" w:rsidRPr="004E28A8">
        <w:rPr>
          <w:sz w:val="24"/>
          <w:szCs w:val="24"/>
        </w:rPr>
        <w:t>support food</w:t>
      </w:r>
      <w:r w:rsidRPr="004E28A8">
        <w:rPr>
          <w:sz w:val="24"/>
          <w:szCs w:val="24"/>
        </w:rPr>
        <w:t xml:space="preserve"> access and environmental health with seasonal garden</w:t>
      </w:r>
      <w:r w:rsidR="00F04EA7" w:rsidRPr="004E28A8">
        <w:rPr>
          <w:sz w:val="24"/>
          <w:szCs w:val="24"/>
        </w:rPr>
        <w:t>ing and other social</w:t>
      </w:r>
      <w:r w:rsidRPr="004E28A8">
        <w:rPr>
          <w:sz w:val="24"/>
          <w:szCs w:val="24"/>
        </w:rPr>
        <w:t xml:space="preserve"> programs </w:t>
      </w:r>
      <w:r w:rsidR="00C6021A" w:rsidRPr="004E28A8">
        <w:rPr>
          <w:sz w:val="24"/>
          <w:szCs w:val="24"/>
        </w:rPr>
        <w:t>that all</w:t>
      </w:r>
      <w:r w:rsidRPr="004E28A8">
        <w:rPr>
          <w:sz w:val="24"/>
          <w:szCs w:val="24"/>
        </w:rPr>
        <w:t xml:space="preserve"> make up a holistic approach to wellness</w:t>
      </w:r>
      <w:r w:rsidR="00F04EA7" w:rsidRPr="004E28A8">
        <w:rPr>
          <w:sz w:val="24"/>
          <w:szCs w:val="24"/>
        </w:rPr>
        <w:t>.</w:t>
      </w:r>
      <w:r w:rsidR="00BD5849" w:rsidRPr="004E28A8">
        <w:rPr>
          <w:sz w:val="24"/>
          <w:szCs w:val="24"/>
        </w:rPr>
        <w:t xml:space="preserve">   </w:t>
      </w:r>
    </w:p>
    <w:p w:rsidR="00515202" w:rsidRDefault="00B85643" w:rsidP="00515202">
      <w:pPr>
        <w:numPr>
          <w:ilvl w:val="0"/>
          <w:numId w:val="32"/>
        </w:numPr>
        <w:ind w:right="0"/>
        <w:rPr>
          <w:sz w:val="24"/>
        </w:rPr>
      </w:pPr>
      <w:r w:rsidRPr="00515202">
        <w:rPr>
          <w:sz w:val="24"/>
          <w:szCs w:val="24"/>
        </w:rPr>
        <w:t xml:space="preserve">In </w:t>
      </w:r>
      <w:r w:rsidR="00003D82" w:rsidRPr="00515202">
        <w:rPr>
          <w:sz w:val="24"/>
          <w:szCs w:val="24"/>
        </w:rPr>
        <w:t xml:space="preserve">2022/23, </w:t>
      </w:r>
      <w:r w:rsidRPr="00515202">
        <w:rPr>
          <w:sz w:val="24"/>
          <w:szCs w:val="24"/>
        </w:rPr>
        <w:t xml:space="preserve">we offered </w:t>
      </w:r>
      <w:r w:rsidR="00BD5849" w:rsidRPr="00515202">
        <w:rPr>
          <w:sz w:val="24"/>
          <w:szCs w:val="24"/>
        </w:rPr>
        <w:t>88 group programs</w:t>
      </w:r>
      <w:r w:rsidR="00515202">
        <w:rPr>
          <w:sz w:val="24"/>
          <w:szCs w:val="24"/>
        </w:rPr>
        <w:t>.</w:t>
      </w:r>
      <w:r w:rsidR="004E28A8">
        <w:rPr>
          <w:sz w:val="24"/>
          <w:szCs w:val="24"/>
        </w:rPr>
        <w:t xml:space="preserve"> </w:t>
      </w:r>
    </w:p>
    <w:p w:rsidR="00515202" w:rsidRDefault="00515202" w:rsidP="00515202">
      <w:pPr>
        <w:ind w:left="0" w:right="0"/>
        <w:rPr>
          <w:sz w:val="24"/>
        </w:rPr>
      </w:pPr>
    </w:p>
    <w:p w:rsidR="004E28A8" w:rsidRDefault="004E28A8" w:rsidP="00515202">
      <w:pPr>
        <w:ind w:left="0" w:right="0"/>
        <w:rPr>
          <w:b/>
          <w:sz w:val="28"/>
        </w:rPr>
      </w:pPr>
      <w:r>
        <w:rPr>
          <w:noProof/>
          <w:lang w:val="en-US" w:eastAsia="en-US"/>
        </w:rPr>
        <w:lastRenderedPageBreak/>
        <w:drawing>
          <wp:inline distT="0" distB="0" distL="0" distR="0" wp14:anchorId="05F864AF" wp14:editId="253B391C">
            <wp:extent cx="6797040" cy="722065"/>
            <wp:effectExtent l="0" t="0" r="381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7052" cy="749687"/>
                    </a:xfrm>
                    <a:prstGeom prst="rect">
                      <a:avLst/>
                    </a:prstGeom>
                    <a:noFill/>
                    <a:ln>
                      <a:noFill/>
                    </a:ln>
                  </pic:spPr>
                </pic:pic>
              </a:graphicData>
            </a:graphic>
          </wp:inline>
        </w:drawing>
      </w:r>
    </w:p>
    <w:p w:rsidR="004E28A8" w:rsidRPr="004E28A8" w:rsidRDefault="004E28A8" w:rsidP="00515202">
      <w:pPr>
        <w:ind w:left="0" w:right="0"/>
        <w:rPr>
          <w:b/>
          <w:sz w:val="26"/>
        </w:rPr>
      </w:pPr>
    </w:p>
    <w:p w:rsidR="00AC6354" w:rsidRPr="00515202" w:rsidRDefault="00B15A4A" w:rsidP="00515202">
      <w:pPr>
        <w:ind w:left="0" w:right="0"/>
        <w:rPr>
          <w:sz w:val="24"/>
        </w:rPr>
      </w:pPr>
      <w:r w:rsidRPr="00515202">
        <w:rPr>
          <w:b/>
          <w:sz w:val="28"/>
        </w:rPr>
        <w:t xml:space="preserve">Client Profile </w:t>
      </w:r>
    </w:p>
    <w:p w:rsidR="00515202" w:rsidRPr="004E28A8" w:rsidRDefault="00B15A4A" w:rsidP="004E28A8">
      <w:pPr>
        <w:numPr>
          <w:ilvl w:val="0"/>
          <w:numId w:val="32"/>
        </w:numPr>
        <w:ind w:right="0"/>
        <w:rPr>
          <w:sz w:val="24"/>
        </w:rPr>
      </w:pPr>
      <w:r w:rsidRPr="00515202">
        <w:rPr>
          <w:sz w:val="24"/>
        </w:rPr>
        <w:t xml:space="preserve">60% of </w:t>
      </w:r>
      <w:r w:rsidR="00F04EA7" w:rsidRPr="00515202">
        <w:rPr>
          <w:sz w:val="24"/>
        </w:rPr>
        <w:t xml:space="preserve">our </w:t>
      </w:r>
      <w:r w:rsidRPr="00515202">
        <w:rPr>
          <w:sz w:val="24"/>
        </w:rPr>
        <w:t>clients are low</w:t>
      </w:r>
      <w:r w:rsidR="00E839C6" w:rsidRPr="00515202">
        <w:rPr>
          <w:sz w:val="24"/>
        </w:rPr>
        <w:t>-</w:t>
      </w:r>
      <w:r w:rsidRPr="00515202">
        <w:rPr>
          <w:sz w:val="24"/>
        </w:rPr>
        <w:t>income</w:t>
      </w:r>
      <w:r w:rsidR="00F04EA7" w:rsidRPr="00515202">
        <w:rPr>
          <w:sz w:val="24"/>
        </w:rPr>
        <w:t xml:space="preserve"> with 24% receiving </w:t>
      </w:r>
      <w:r w:rsidRPr="004E28A8">
        <w:rPr>
          <w:sz w:val="24"/>
        </w:rPr>
        <w:t>social assistance</w:t>
      </w:r>
      <w:r w:rsidR="00E839C6" w:rsidRPr="004E28A8">
        <w:rPr>
          <w:sz w:val="24"/>
        </w:rPr>
        <w:t>.</w:t>
      </w:r>
    </w:p>
    <w:p w:rsidR="00B64804" w:rsidRDefault="00F04EA7" w:rsidP="00B64804">
      <w:pPr>
        <w:numPr>
          <w:ilvl w:val="0"/>
          <w:numId w:val="32"/>
        </w:numPr>
        <w:ind w:right="0"/>
        <w:rPr>
          <w:sz w:val="24"/>
        </w:rPr>
      </w:pPr>
      <w:r w:rsidRPr="00515202">
        <w:rPr>
          <w:sz w:val="24"/>
        </w:rPr>
        <w:t>SRCHC’s c</w:t>
      </w:r>
      <w:r w:rsidR="00B15A4A" w:rsidRPr="00515202">
        <w:rPr>
          <w:sz w:val="24"/>
        </w:rPr>
        <w:t>lient</w:t>
      </w:r>
      <w:r w:rsidR="00E839C6" w:rsidRPr="00515202">
        <w:rPr>
          <w:sz w:val="24"/>
        </w:rPr>
        <w:t>s</w:t>
      </w:r>
      <w:r w:rsidR="00B15A4A" w:rsidRPr="00515202">
        <w:rPr>
          <w:sz w:val="24"/>
        </w:rPr>
        <w:t xml:space="preserve"> come from 135 different countries, with 16% </w:t>
      </w:r>
      <w:r w:rsidRPr="00515202">
        <w:rPr>
          <w:sz w:val="24"/>
        </w:rPr>
        <w:t xml:space="preserve">who are </w:t>
      </w:r>
      <w:r w:rsidR="00B15A4A" w:rsidRPr="00515202">
        <w:rPr>
          <w:sz w:val="24"/>
        </w:rPr>
        <w:t xml:space="preserve">newcomers to Canada </w:t>
      </w:r>
      <w:r w:rsidRPr="00515202">
        <w:rPr>
          <w:sz w:val="24"/>
        </w:rPr>
        <w:t xml:space="preserve">(arriving </w:t>
      </w:r>
      <w:r w:rsidR="00B15A4A" w:rsidRPr="00515202">
        <w:rPr>
          <w:sz w:val="24"/>
        </w:rPr>
        <w:t>in the last five years</w:t>
      </w:r>
      <w:r w:rsidRPr="00515202">
        <w:rPr>
          <w:sz w:val="24"/>
        </w:rPr>
        <w:t>)</w:t>
      </w:r>
      <w:r w:rsidR="00B15A4A" w:rsidRPr="00515202">
        <w:rPr>
          <w:sz w:val="24"/>
        </w:rPr>
        <w:t>.</w:t>
      </w:r>
    </w:p>
    <w:p w:rsidR="00B64804" w:rsidRPr="00B64804" w:rsidRDefault="00B64804" w:rsidP="00B64804">
      <w:pPr>
        <w:ind w:left="0" w:right="0"/>
        <w:rPr>
          <w:b/>
          <w:sz w:val="28"/>
        </w:rPr>
      </w:pPr>
    </w:p>
    <w:p w:rsidR="008316F1" w:rsidRPr="00B64804" w:rsidRDefault="00E23C1D" w:rsidP="00B64804">
      <w:pPr>
        <w:ind w:left="0" w:right="0"/>
        <w:rPr>
          <w:sz w:val="24"/>
        </w:rPr>
      </w:pPr>
      <w:r w:rsidRPr="00B64804">
        <w:rPr>
          <w:b/>
          <w:sz w:val="28"/>
        </w:rPr>
        <w:t xml:space="preserve">SRCHC </w:t>
      </w:r>
      <w:r w:rsidR="00F62C5E" w:rsidRPr="00B64804">
        <w:rPr>
          <w:b/>
          <w:sz w:val="28"/>
        </w:rPr>
        <w:t xml:space="preserve">Substance Use and Mental Health Team </w:t>
      </w:r>
    </w:p>
    <w:p w:rsidR="00F62C5E" w:rsidRPr="001779B7" w:rsidRDefault="00F62C5E" w:rsidP="00515202">
      <w:pPr>
        <w:pStyle w:val="ListParagraph"/>
        <w:numPr>
          <w:ilvl w:val="0"/>
          <w:numId w:val="44"/>
        </w:numPr>
        <w:ind w:right="0"/>
        <w:rPr>
          <w:b/>
          <w:sz w:val="24"/>
        </w:rPr>
      </w:pPr>
      <w:r w:rsidRPr="001779B7">
        <w:rPr>
          <w:sz w:val="24"/>
        </w:rPr>
        <w:t>SRCHC has operated one of the city’s largest and most</w:t>
      </w:r>
      <w:r>
        <w:rPr>
          <w:sz w:val="24"/>
        </w:rPr>
        <w:t xml:space="preserve"> holistic</w:t>
      </w:r>
      <w:r w:rsidRPr="001779B7">
        <w:rPr>
          <w:sz w:val="24"/>
        </w:rPr>
        <w:t xml:space="preserve"> harm reduction programs in its current location since 1998.  </w:t>
      </w:r>
    </w:p>
    <w:p w:rsidR="00F04EA7" w:rsidRPr="001779B7" w:rsidRDefault="00F04EA7" w:rsidP="00515202">
      <w:pPr>
        <w:pStyle w:val="ListParagraph"/>
        <w:numPr>
          <w:ilvl w:val="0"/>
          <w:numId w:val="44"/>
        </w:numPr>
        <w:ind w:right="0"/>
        <w:rPr>
          <w:b/>
          <w:sz w:val="24"/>
        </w:rPr>
      </w:pPr>
      <w:r>
        <w:rPr>
          <w:sz w:val="24"/>
        </w:rPr>
        <w:t>H</w:t>
      </w:r>
      <w:r w:rsidRPr="001779B7">
        <w:rPr>
          <w:sz w:val="24"/>
        </w:rPr>
        <w:t>arm reduction is a</w:t>
      </w:r>
      <w:r>
        <w:rPr>
          <w:sz w:val="24"/>
        </w:rPr>
        <w:t xml:space="preserve"> comprehensive</w:t>
      </w:r>
      <w:r w:rsidRPr="001779B7">
        <w:rPr>
          <w:sz w:val="24"/>
        </w:rPr>
        <w:t xml:space="preserve"> set of principles</w:t>
      </w:r>
      <w:r>
        <w:rPr>
          <w:sz w:val="24"/>
        </w:rPr>
        <w:t xml:space="preserve"> and programs</w:t>
      </w:r>
      <w:r w:rsidRPr="001779B7">
        <w:rPr>
          <w:sz w:val="24"/>
        </w:rPr>
        <w:t xml:space="preserve"> aimed at reducing the negative consequences associated with the criminalization of drug use.  </w:t>
      </w:r>
    </w:p>
    <w:p w:rsidR="008316F1" w:rsidRPr="00F62C5E" w:rsidRDefault="00F04EA7" w:rsidP="00515202">
      <w:pPr>
        <w:pStyle w:val="ListParagraph"/>
        <w:numPr>
          <w:ilvl w:val="0"/>
          <w:numId w:val="44"/>
        </w:numPr>
        <w:ind w:right="0"/>
        <w:rPr>
          <w:b/>
          <w:sz w:val="24"/>
        </w:rPr>
      </w:pPr>
      <w:r>
        <w:rPr>
          <w:sz w:val="24"/>
        </w:rPr>
        <w:t xml:space="preserve">Harm reduction at SRCHC includes a </w:t>
      </w:r>
      <w:r w:rsidR="008316F1" w:rsidRPr="001779B7">
        <w:rPr>
          <w:sz w:val="24"/>
        </w:rPr>
        <w:t xml:space="preserve">variety of multidisciplinary, integrated programs and services </w:t>
      </w:r>
      <w:r>
        <w:rPr>
          <w:sz w:val="24"/>
        </w:rPr>
        <w:t xml:space="preserve">for </w:t>
      </w:r>
      <w:r w:rsidR="008316F1" w:rsidRPr="001779B7">
        <w:rPr>
          <w:sz w:val="24"/>
        </w:rPr>
        <w:t>people who use drugs, including</w:t>
      </w:r>
      <w:r>
        <w:rPr>
          <w:sz w:val="24"/>
        </w:rPr>
        <w:t xml:space="preserve"> primary health care</w:t>
      </w:r>
      <w:r w:rsidR="008316F1" w:rsidRPr="001779B7">
        <w:rPr>
          <w:sz w:val="24"/>
        </w:rPr>
        <w:t xml:space="preserve"> health care</w:t>
      </w:r>
      <w:r w:rsidR="001779B7">
        <w:rPr>
          <w:sz w:val="24"/>
        </w:rPr>
        <w:t xml:space="preserve">, </w:t>
      </w:r>
      <w:r w:rsidR="008316F1" w:rsidRPr="001779B7">
        <w:rPr>
          <w:sz w:val="24"/>
        </w:rPr>
        <w:t>needle and stem kit distribution</w:t>
      </w:r>
      <w:r w:rsidR="00D727B1">
        <w:rPr>
          <w:sz w:val="24"/>
        </w:rPr>
        <w:t>/return</w:t>
      </w:r>
      <w:r w:rsidR="008316F1" w:rsidRPr="001779B7">
        <w:rPr>
          <w:sz w:val="24"/>
        </w:rPr>
        <w:t>, safer drug use education, naloxone distribution</w:t>
      </w:r>
      <w:r w:rsidR="00D727B1">
        <w:rPr>
          <w:sz w:val="24"/>
        </w:rPr>
        <w:t>/training</w:t>
      </w:r>
      <w:r w:rsidR="008316F1" w:rsidRPr="001779B7">
        <w:rPr>
          <w:sz w:val="24"/>
        </w:rPr>
        <w:t>, outreach, safer supply, Hep C treatment, group programs (women’s drop-in, art, grief and loss support), practical supports (legal clinics, income assistance), Indigenous harm reduction programming</w:t>
      </w:r>
      <w:r>
        <w:rPr>
          <w:sz w:val="24"/>
        </w:rPr>
        <w:t>.</w:t>
      </w:r>
    </w:p>
    <w:p w:rsidR="00E23C1D" w:rsidRPr="00544506" w:rsidRDefault="00E23C1D" w:rsidP="00515202">
      <w:pPr>
        <w:pStyle w:val="ListParagraph"/>
        <w:numPr>
          <w:ilvl w:val="0"/>
          <w:numId w:val="45"/>
        </w:numPr>
        <w:ind w:right="0"/>
        <w:rPr>
          <w:sz w:val="24"/>
          <w:szCs w:val="24"/>
        </w:rPr>
      </w:pPr>
      <w:r w:rsidRPr="00D727B1">
        <w:rPr>
          <w:sz w:val="24"/>
          <w:szCs w:val="24"/>
        </w:rPr>
        <w:t xml:space="preserve">At least 1,250 people in </w:t>
      </w:r>
      <w:r>
        <w:rPr>
          <w:sz w:val="24"/>
          <w:szCs w:val="24"/>
        </w:rPr>
        <w:t>E</w:t>
      </w:r>
      <w:r w:rsidRPr="00544506">
        <w:rPr>
          <w:sz w:val="24"/>
          <w:szCs w:val="24"/>
        </w:rPr>
        <w:t xml:space="preserve">ast Toronto used one of the </w:t>
      </w:r>
      <w:r>
        <w:rPr>
          <w:sz w:val="24"/>
          <w:szCs w:val="24"/>
        </w:rPr>
        <w:t>H</w:t>
      </w:r>
      <w:r w:rsidRPr="00544506">
        <w:rPr>
          <w:sz w:val="24"/>
          <w:szCs w:val="24"/>
        </w:rPr>
        <w:t xml:space="preserve">ealth </w:t>
      </w:r>
      <w:r>
        <w:rPr>
          <w:sz w:val="24"/>
          <w:szCs w:val="24"/>
        </w:rPr>
        <w:t>C</w:t>
      </w:r>
      <w:r w:rsidRPr="00544506">
        <w:rPr>
          <w:sz w:val="24"/>
          <w:szCs w:val="24"/>
        </w:rPr>
        <w:t>entre’s harm reduction services</w:t>
      </w:r>
      <w:r>
        <w:rPr>
          <w:sz w:val="24"/>
          <w:szCs w:val="24"/>
        </w:rPr>
        <w:t xml:space="preserve"> last year with over </w:t>
      </w:r>
      <w:r w:rsidRPr="00544506">
        <w:rPr>
          <w:sz w:val="24"/>
          <w:szCs w:val="24"/>
        </w:rPr>
        <w:t xml:space="preserve">33,000 visits </w:t>
      </w:r>
      <w:r>
        <w:rPr>
          <w:sz w:val="24"/>
          <w:szCs w:val="24"/>
        </w:rPr>
        <w:t>in 2022</w:t>
      </w:r>
      <w:r w:rsidRPr="00544506">
        <w:rPr>
          <w:sz w:val="24"/>
          <w:szCs w:val="24"/>
        </w:rPr>
        <w:t xml:space="preserve">. </w:t>
      </w:r>
    </w:p>
    <w:p w:rsidR="00E23C1D" w:rsidRPr="00457C8A" w:rsidRDefault="00E23C1D" w:rsidP="00515202">
      <w:pPr>
        <w:pStyle w:val="ListParagraph"/>
        <w:numPr>
          <w:ilvl w:val="0"/>
          <w:numId w:val="45"/>
        </w:numPr>
        <w:ind w:right="0"/>
        <w:rPr>
          <w:sz w:val="24"/>
          <w:szCs w:val="24"/>
        </w:rPr>
      </w:pPr>
      <w:r w:rsidRPr="00544506">
        <w:rPr>
          <w:sz w:val="24"/>
          <w:szCs w:val="24"/>
        </w:rPr>
        <w:t xml:space="preserve">The Substance Use </w:t>
      </w:r>
      <w:r>
        <w:rPr>
          <w:sz w:val="24"/>
          <w:szCs w:val="24"/>
        </w:rPr>
        <w:t xml:space="preserve">and </w:t>
      </w:r>
      <w:r w:rsidRPr="00544506">
        <w:rPr>
          <w:sz w:val="24"/>
          <w:szCs w:val="24"/>
        </w:rPr>
        <w:t>Menta</w:t>
      </w:r>
      <w:r>
        <w:rPr>
          <w:sz w:val="24"/>
          <w:szCs w:val="24"/>
        </w:rPr>
        <w:t>l</w:t>
      </w:r>
      <w:r w:rsidRPr="00544506">
        <w:rPr>
          <w:sz w:val="24"/>
          <w:szCs w:val="24"/>
        </w:rPr>
        <w:t xml:space="preserve"> Health </w:t>
      </w:r>
      <w:r>
        <w:rPr>
          <w:sz w:val="24"/>
          <w:szCs w:val="24"/>
        </w:rPr>
        <w:t>T</w:t>
      </w:r>
      <w:r w:rsidRPr="00544506">
        <w:rPr>
          <w:sz w:val="24"/>
          <w:szCs w:val="24"/>
        </w:rPr>
        <w:t xml:space="preserve">eam at SRCHC made 11,762 referrals to health care and other social services in 2022.  </w:t>
      </w:r>
      <w:r>
        <w:rPr>
          <w:sz w:val="24"/>
          <w:szCs w:val="24"/>
        </w:rPr>
        <w:t xml:space="preserve">From </w:t>
      </w:r>
      <w:r w:rsidRPr="00544506">
        <w:rPr>
          <w:sz w:val="24"/>
          <w:szCs w:val="24"/>
        </w:rPr>
        <w:t>January to July 2023, at least 165 individuals received clinical support for drug use from Health Centre providers beyond the CTS.</w:t>
      </w:r>
    </w:p>
    <w:p w:rsidR="00515202" w:rsidRDefault="00E23C1D" w:rsidP="00515202">
      <w:pPr>
        <w:pStyle w:val="ListParagraph"/>
        <w:numPr>
          <w:ilvl w:val="0"/>
          <w:numId w:val="45"/>
        </w:numPr>
        <w:ind w:right="0"/>
        <w:rPr>
          <w:sz w:val="24"/>
          <w:szCs w:val="24"/>
        </w:rPr>
      </w:pPr>
      <w:r w:rsidRPr="00544506">
        <w:rPr>
          <w:sz w:val="24"/>
          <w:szCs w:val="24"/>
        </w:rPr>
        <w:t>In the first six months of 2023, there were 112 referrals made to addictions services (detox, treatment) and 986 made to mental health services.</w:t>
      </w:r>
    </w:p>
    <w:p w:rsidR="00515202" w:rsidRDefault="00515202" w:rsidP="00515202">
      <w:pPr>
        <w:ind w:left="0" w:right="0"/>
        <w:rPr>
          <w:b/>
          <w:sz w:val="28"/>
        </w:rPr>
      </w:pPr>
    </w:p>
    <w:p w:rsidR="008316F1" w:rsidRDefault="008316F1" w:rsidP="00515202">
      <w:pPr>
        <w:ind w:left="0" w:right="0"/>
        <w:rPr>
          <w:b/>
          <w:sz w:val="28"/>
        </w:rPr>
      </w:pPr>
      <w:r w:rsidRPr="00515202">
        <w:rPr>
          <w:b/>
          <w:sz w:val="28"/>
        </w:rPr>
        <w:t xml:space="preserve">Broader Context: Overdose Numbers </w:t>
      </w:r>
    </w:p>
    <w:p w:rsidR="00515202" w:rsidRDefault="00457C8A" w:rsidP="00515202">
      <w:pPr>
        <w:pStyle w:val="ListParagraph"/>
        <w:numPr>
          <w:ilvl w:val="0"/>
          <w:numId w:val="45"/>
        </w:numPr>
        <w:ind w:right="0"/>
        <w:rPr>
          <w:sz w:val="24"/>
          <w:szCs w:val="24"/>
        </w:rPr>
      </w:pPr>
      <w:r w:rsidRPr="00515202">
        <w:rPr>
          <w:sz w:val="24"/>
          <w:szCs w:val="24"/>
        </w:rPr>
        <w:t>There has been a</w:t>
      </w:r>
      <w:r w:rsidR="008316F1" w:rsidRPr="00515202">
        <w:rPr>
          <w:sz w:val="24"/>
          <w:szCs w:val="24"/>
        </w:rPr>
        <w:t xml:space="preserve"> significant increase in overdose deaths since the COVID-19 pandemic began.  </w:t>
      </w:r>
    </w:p>
    <w:p w:rsidR="00515202" w:rsidRDefault="008316F1" w:rsidP="00515202">
      <w:pPr>
        <w:pStyle w:val="ListParagraph"/>
        <w:numPr>
          <w:ilvl w:val="0"/>
          <w:numId w:val="45"/>
        </w:numPr>
        <w:ind w:right="0"/>
        <w:rPr>
          <w:sz w:val="24"/>
          <w:szCs w:val="24"/>
        </w:rPr>
      </w:pPr>
      <w:r w:rsidRPr="00515202">
        <w:rPr>
          <w:sz w:val="24"/>
          <w:szCs w:val="24"/>
        </w:rPr>
        <w:t>In Toronto 539 people died of an opioid overdose in 2020, up from 300 in 2019. Preliminary data suggests there were at least 511 overdose fatalities in 2021. There were 490 confirmed deaths in 2022.  In May</w:t>
      </w:r>
      <w:r>
        <w:t xml:space="preserve"> </w:t>
      </w:r>
      <w:r w:rsidRPr="00515202">
        <w:rPr>
          <w:sz w:val="24"/>
          <w:szCs w:val="24"/>
        </w:rPr>
        <w:t>2023 alone there were 23 fatal overdoses in Toronto.</w:t>
      </w:r>
    </w:p>
    <w:p w:rsidR="00515202" w:rsidRDefault="00515202" w:rsidP="00515202">
      <w:pPr>
        <w:ind w:left="0" w:right="0"/>
        <w:rPr>
          <w:b/>
          <w:sz w:val="28"/>
        </w:rPr>
      </w:pPr>
    </w:p>
    <w:p w:rsidR="00B15A4A" w:rsidRDefault="00B15A4A" w:rsidP="00515202">
      <w:pPr>
        <w:ind w:left="0" w:right="0"/>
        <w:rPr>
          <w:b/>
          <w:sz w:val="28"/>
        </w:rPr>
      </w:pPr>
      <w:r w:rsidRPr="00515202">
        <w:rPr>
          <w:b/>
          <w:sz w:val="28"/>
        </w:rPr>
        <w:t>C</w:t>
      </w:r>
      <w:r w:rsidR="001779B7" w:rsidRPr="00515202">
        <w:rPr>
          <w:b/>
          <w:sz w:val="28"/>
        </w:rPr>
        <w:t xml:space="preserve">onsumption and </w:t>
      </w:r>
      <w:r w:rsidRPr="00515202">
        <w:rPr>
          <w:b/>
          <w:sz w:val="28"/>
        </w:rPr>
        <w:t>T</w:t>
      </w:r>
      <w:r w:rsidR="001779B7" w:rsidRPr="00515202">
        <w:rPr>
          <w:b/>
          <w:sz w:val="28"/>
        </w:rPr>
        <w:t xml:space="preserve">reatment </w:t>
      </w:r>
      <w:r w:rsidRPr="00515202">
        <w:rPr>
          <w:b/>
          <w:sz w:val="28"/>
        </w:rPr>
        <w:t>S</w:t>
      </w:r>
      <w:r w:rsidR="001779B7" w:rsidRPr="00515202">
        <w:rPr>
          <w:b/>
          <w:sz w:val="28"/>
        </w:rPr>
        <w:t>ervices (CTS)</w:t>
      </w:r>
      <w:r w:rsidR="008316F1" w:rsidRPr="00515202">
        <w:rPr>
          <w:b/>
          <w:sz w:val="28"/>
        </w:rPr>
        <w:t xml:space="preserve"> </w:t>
      </w:r>
      <w:r w:rsidR="00B85643" w:rsidRPr="00515202">
        <w:rPr>
          <w:b/>
          <w:sz w:val="28"/>
        </w:rPr>
        <w:t xml:space="preserve">at SRCHC </w:t>
      </w:r>
    </w:p>
    <w:p w:rsidR="00515202" w:rsidRPr="00F24C57" w:rsidRDefault="00475F78" w:rsidP="00515202">
      <w:pPr>
        <w:pStyle w:val="ListParagraph"/>
        <w:numPr>
          <w:ilvl w:val="0"/>
          <w:numId w:val="45"/>
        </w:numPr>
        <w:ind w:right="0"/>
        <w:rPr>
          <w:sz w:val="24"/>
          <w:szCs w:val="24"/>
        </w:rPr>
      </w:pPr>
      <w:r w:rsidRPr="00515202">
        <w:rPr>
          <w:sz w:val="24"/>
        </w:rPr>
        <w:t xml:space="preserve">SRCHC’s service is allowed to legally operate through an exemption under the federal Controlled Drugs and </w:t>
      </w:r>
      <w:r w:rsidR="00515202">
        <w:rPr>
          <w:sz w:val="24"/>
        </w:rPr>
        <w:t xml:space="preserve">Substances Act (Section 56.1). </w:t>
      </w:r>
      <w:r w:rsidR="00457C8A" w:rsidRPr="00515202">
        <w:rPr>
          <w:sz w:val="24"/>
        </w:rPr>
        <w:t>The service is funded through the Ministry of Health as a Consumption &amp; Treatment Service.</w:t>
      </w:r>
    </w:p>
    <w:p w:rsidR="00F24C57" w:rsidRPr="00F24C57" w:rsidRDefault="00F24C57" w:rsidP="00F24C57">
      <w:pPr>
        <w:pStyle w:val="ListParagraph"/>
        <w:numPr>
          <w:ilvl w:val="0"/>
          <w:numId w:val="45"/>
        </w:numPr>
        <w:ind w:right="0"/>
        <w:rPr>
          <w:sz w:val="24"/>
          <w:szCs w:val="24"/>
        </w:rPr>
      </w:pPr>
      <w:r w:rsidRPr="00515202">
        <w:rPr>
          <w:sz w:val="24"/>
        </w:rPr>
        <w:t>There are just 8 other Supervised Consumption Sites (SCS) in Toronto and the CTS at 955 Queen St. E is the only supervised consumption service East of the Don Valley.</w:t>
      </w:r>
    </w:p>
    <w:p w:rsidR="004E28A8" w:rsidRDefault="004E28A8" w:rsidP="004E28A8">
      <w:pPr>
        <w:ind w:left="0" w:right="0"/>
        <w:rPr>
          <w:sz w:val="24"/>
          <w:szCs w:val="24"/>
        </w:rPr>
      </w:pPr>
      <w:r>
        <w:rPr>
          <w:noProof/>
          <w:lang w:val="en-US" w:eastAsia="en-US"/>
        </w:rPr>
        <w:lastRenderedPageBreak/>
        <w:drawing>
          <wp:inline distT="0" distB="0" distL="0" distR="0" wp14:anchorId="1CD36D17" wp14:editId="760CC918">
            <wp:extent cx="6797040" cy="722065"/>
            <wp:effectExtent l="0" t="0" r="381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7052" cy="749687"/>
                    </a:xfrm>
                    <a:prstGeom prst="rect">
                      <a:avLst/>
                    </a:prstGeom>
                    <a:noFill/>
                    <a:ln>
                      <a:noFill/>
                    </a:ln>
                  </pic:spPr>
                </pic:pic>
              </a:graphicData>
            </a:graphic>
          </wp:inline>
        </w:drawing>
      </w:r>
    </w:p>
    <w:p w:rsidR="004E28A8" w:rsidRPr="00F24C57" w:rsidRDefault="004E28A8" w:rsidP="004E28A8">
      <w:pPr>
        <w:ind w:left="0" w:right="0"/>
        <w:rPr>
          <w:b/>
          <w:sz w:val="26"/>
          <w:szCs w:val="24"/>
        </w:rPr>
      </w:pPr>
    </w:p>
    <w:p w:rsidR="00515202" w:rsidRPr="00515202" w:rsidRDefault="00475F78" w:rsidP="00515202">
      <w:pPr>
        <w:pStyle w:val="ListParagraph"/>
        <w:numPr>
          <w:ilvl w:val="0"/>
          <w:numId w:val="45"/>
        </w:numPr>
        <w:ind w:right="0"/>
        <w:rPr>
          <w:sz w:val="24"/>
          <w:szCs w:val="24"/>
        </w:rPr>
      </w:pPr>
      <w:bookmarkStart w:id="0" w:name="_GoBack"/>
      <w:bookmarkEnd w:id="0"/>
      <w:r w:rsidRPr="00515202">
        <w:rPr>
          <w:sz w:val="24"/>
        </w:rPr>
        <w:t xml:space="preserve">As part of its initial exemption approval in 2017, SRCHC underwent an in-person site inspection and policy/procedure review by Health Canada.  </w:t>
      </w:r>
    </w:p>
    <w:p w:rsidR="00515202" w:rsidRPr="00515202" w:rsidRDefault="00475F78" w:rsidP="00515202">
      <w:pPr>
        <w:pStyle w:val="ListParagraph"/>
        <w:numPr>
          <w:ilvl w:val="0"/>
          <w:numId w:val="45"/>
        </w:numPr>
        <w:ind w:right="0"/>
        <w:rPr>
          <w:sz w:val="24"/>
          <w:szCs w:val="24"/>
        </w:rPr>
      </w:pPr>
      <w:r w:rsidRPr="00515202">
        <w:rPr>
          <w:sz w:val="24"/>
        </w:rPr>
        <w:t>Exemption renewals are required after the first year of operation and then every three ye</w:t>
      </w:r>
      <w:r w:rsidR="00515202">
        <w:rPr>
          <w:sz w:val="24"/>
        </w:rPr>
        <w:t xml:space="preserve">ars if there are no concerns. </w:t>
      </w:r>
      <w:r w:rsidRPr="00515202">
        <w:rPr>
          <w:sz w:val="24"/>
        </w:rPr>
        <w:t xml:space="preserve">SRCHC has had its exemption renewed in 2018 and in 2021.  </w:t>
      </w:r>
    </w:p>
    <w:p w:rsidR="00515202" w:rsidRPr="00515202" w:rsidRDefault="00B15A4A" w:rsidP="00515202">
      <w:pPr>
        <w:pStyle w:val="ListParagraph"/>
        <w:numPr>
          <w:ilvl w:val="0"/>
          <w:numId w:val="45"/>
        </w:numPr>
        <w:ind w:right="0"/>
        <w:rPr>
          <w:sz w:val="24"/>
          <w:szCs w:val="24"/>
        </w:rPr>
      </w:pPr>
      <w:r w:rsidRPr="00515202">
        <w:rPr>
          <w:sz w:val="24"/>
        </w:rPr>
        <w:t xml:space="preserve">The service underwent and successfully passed an inspection as part of a ‘CTS Compliance and Enforcement’ protocol, mandated by the MOH and conducted by Toronto Public Health, in May 2023.  </w:t>
      </w:r>
      <w:hyperlink r:id="rId10" w:history="1">
        <w:r w:rsidRPr="00515202">
          <w:rPr>
            <w:rStyle w:val="Hyperlink"/>
            <w:sz w:val="24"/>
          </w:rPr>
          <w:t>Report is now posted publicly</w:t>
        </w:r>
      </w:hyperlink>
      <w:r w:rsidR="001779B7" w:rsidRPr="00515202">
        <w:rPr>
          <w:sz w:val="24"/>
        </w:rPr>
        <w:t>.</w:t>
      </w:r>
    </w:p>
    <w:p w:rsidR="00515202" w:rsidRDefault="00515202" w:rsidP="00515202">
      <w:pPr>
        <w:ind w:left="0" w:right="0"/>
        <w:rPr>
          <w:b/>
          <w:sz w:val="28"/>
        </w:rPr>
      </w:pPr>
    </w:p>
    <w:p w:rsidR="00AC6354" w:rsidRPr="00515202" w:rsidRDefault="00475F78" w:rsidP="00515202">
      <w:pPr>
        <w:ind w:left="0" w:right="0"/>
        <w:rPr>
          <w:sz w:val="24"/>
          <w:szCs w:val="24"/>
        </w:rPr>
      </w:pPr>
      <w:r w:rsidRPr="00515202">
        <w:rPr>
          <w:b/>
          <w:sz w:val="28"/>
        </w:rPr>
        <w:t>C</w:t>
      </w:r>
      <w:r w:rsidR="001779B7" w:rsidRPr="00515202">
        <w:rPr>
          <w:b/>
          <w:sz w:val="28"/>
        </w:rPr>
        <w:t xml:space="preserve">onsumption and </w:t>
      </w:r>
      <w:r w:rsidRPr="00515202">
        <w:rPr>
          <w:b/>
          <w:sz w:val="28"/>
        </w:rPr>
        <w:t>T</w:t>
      </w:r>
      <w:r w:rsidR="001779B7" w:rsidRPr="00515202">
        <w:rPr>
          <w:b/>
          <w:sz w:val="28"/>
        </w:rPr>
        <w:t xml:space="preserve">reatment </w:t>
      </w:r>
      <w:r w:rsidRPr="00515202">
        <w:rPr>
          <w:b/>
          <w:sz w:val="28"/>
        </w:rPr>
        <w:t>S</w:t>
      </w:r>
      <w:r w:rsidR="001779B7" w:rsidRPr="00515202">
        <w:rPr>
          <w:b/>
          <w:sz w:val="28"/>
        </w:rPr>
        <w:t>ervice</w:t>
      </w:r>
      <w:r w:rsidR="006E5555" w:rsidRPr="00515202">
        <w:rPr>
          <w:b/>
          <w:sz w:val="28"/>
        </w:rPr>
        <w:t>s</w:t>
      </w:r>
      <w:r w:rsidR="001B365C" w:rsidRPr="00515202">
        <w:rPr>
          <w:b/>
          <w:sz w:val="28"/>
        </w:rPr>
        <w:t>:</w:t>
      </w:r>
      <w:r w:rsidRPr="00515202">
        <w:rPr>
          <w:b/>
          <w:sz w:val="28"/>
        </w:rPr>
        <w:t xml:space="preserve"> </w:t>
      </w:r>
      <w:r w:rsidR="00E23C1D" w:rsidRPr="00515202">
        <w:rPr>
          <w:b/>
          <w:sz w:val="28"/>
        </w:rPr>
        <w:t>I</w:t>
      </w:r>
      <w:r w:rsidR="00237E6B" w:rsidRPr="00515202">
        <w:rPr>
          <w:b/>
          <w:sz w:val="28"/>
        </w:rPr>
        <w:t>mpact</w:t>
      </w:r>
    </w:p>
    <w:p w:rsidR="008316F1" w:rsidRPr="00F62C5E" w:rsidRDefault="00514BD4" w:rsidP="00515202">
      <w:pPr>
        <w:pStyle w:val="ListParagraph"/>
        <w:numPr>
          <w:ilvl w:val="0"/>
          <w:numId w:val="45"/>
        </w:numPr>
        <w:ind w:right="0"/>
        <w:rPr>
          <w:sz w:val="24"/>
          <w:szCs w:val="24"/>
        </w:rPr>
      </w:pPr>
      <w:r>
        <w:rPr>
          <w:sz w:val="24"/>
          <w:szCs w:val="24"/>
        </w:rPr>
        <w:t>Lately the CTS has about 40 unique service users per day</w:t>
      </w:r>
      <w:r w:rsidR="00F04EA7">
        <w:rPr>
          <w:sz w:val="24"/>
          <w:szCs w:val="24"/>
        </w:rPr>
        <w:t xml:space="preserve">.  </w:t>
      </w:r>
      <w:r>
        <w:rPr>
          <w:sz w:val="24"/>
          <w:szCs w:val="24"/>
        </w:rPr>
        <w:t xml:space="preserve">In June 2023, </w:t>
      </w:r>
      <w:r w:rsidRPr="00514BD4">
        <w:rPr>
          <w:sz w:val="24"/>
          <w:szCs w:val="24"/>
        </w:rPr>
        <w:t>57 unique individuals</w:t>
      </w:r>
      <w:r>
        <w:rPr>
          <w:sz w:val="24"/>
          <w:szCs w:val="24"/>
        </w:rPr>
        <w:t xml:space="preserve"> used the CTS which has</w:t>
      </w:r>
      <w:r w:rsidRPr="00514BD4">
        <w:rPr>
          <w:sz w:val="24"/>
          <w:szCs w:val="24"/>
        </w:rPr>
        <w:t xml:space="preserve"> </w:t>
      </w:r>
      <w:r>
        <w:rPr>
          <w:sz w:val="24"/>
          <w:szCs w:val="24"/>
        </w:rPr>
        <w:t xml:space="preserve">up to </w:t>
      </w:r>
      <w:r w:rsidRPr="00514BD4">
        <w:rPr>
          <w:sz w:val="24"/>
          <w:szCs w:val="24"/>
        </w:rPr>
        <w:t xml:space="preserve">100 visits per day (this fluctuates greatly from about 35 to 100).  </w:t>
      </w:r>
    </w:p>
    <w:p w:rsidR="00475F78" w:rsidRPr="00544506" w:rsidRDefault="00475F78" w:rsidP="00515202">
      <w:pPr>
        <w:pStyle w:val="ListParagraph"/>
        <w:numPr>
          <w:ilvl w:val="0"/>
          <w:numId w:val="45"/>
        </w:numPr>
        <w:ind w:right="0"/>
        <w:rPr>
          <w:sz w:val="24"/>
          <w:szCs w:val="24"/>
        </w:rPr>
      </w:pPr>
      <w:r w:rsidRPr="00544506">
        <w:rPr>
          <w:sz w:val="24"/>
          <w:szCs w:val="24"/>
        </w:rPr>
        <w:t xml:space="preserve">The CTS had over 10,000 visits for drug consumption last year and there have been over 5,000 visits in the first six months of 2023.  </w:t>
      </w:r>
    </w:p>
    <w:p w:rsidR="00544506" w:rsidRDefault="00544506" w:rsidP="00515202">
      <w:pPr>
        <w:pStyle w:val="ListParagraph"/>
        <w:numPr>
          <w:ilvl w:val="0"/>
          <w:numId w:val="45"/>
        </w:numPr>
        <w:ind w:right="0"/>
        <w:rPr>
          <w:sz w:val="24"/>
          <w:szCs w:val="24"/>
        </w:rPr>
      </w:pPr>
      <w:r>
        <w:rPr>
          <w:sz w:val="24"/>
          <w:szCs w:val="24"/>
        </w:rPr>
        <w:t>CTS staff r</w:t>
      </w:r>
      <w:r w:rsidR="00475F78" w:rsidRPr="00544506">
        <w:rPr>
          <w:sz w:val="24"/>
          <w:szCs w:val="24"/>
        </w:rPr>
        <w:t>eversed 124 overdoses in 2022</w:t>
      </w:r>
      <w:r w:rsidR="00545F86">
        <w:rPr>
          <w:sz w:val="24"/>
          <w:szCs w:val="24"/>
        </w:rPr>
        <w:t xml:space="preserve">.  Over </w:t>
      </w:r>
      <w:r w:rsidR="00475F78" w:rsidRPr="00544506">
        <w:rPr>
          <w:sz w:val="24"/>
          <w:szCs w:val="24"/>
        </w:rPr>
        <w:t xml:space="preserve">900 overdoses have been reversed since the service began in November 2017.   </w:t>
      </w:r>
    </w:p>
    <w:p w:rsidR="00544506" w:rsidRDefault="00544506" w:rsidP="00515202">
      <w:pPr>
        <w:pStyle w:val="ListParagraph"/>
        <w:numPr>
          <w:ilvl w:val="0"/>
          <w:numId w:val="45"/>
        </w:numPr>
        <w:ind w:right="0"/>
        <w:rPr>
          <w:sz w:val="24"/>
          <w:szCs w:val="24"/>
        </w:rPr>
      </w:pPr>
      <w:r>
        <w:rPr>
          <w:sz w:val="24"/>
          <w:szCs w:val="24"/>
        </w:rPr>
        <w:t>CTS</w:t>
      </w:r>
      <w:r w:rsidR="00F62C5E">
        <w:rPr>
          <w:sz w:val="24"/>
          <w:szCs w:val="24"/>
        </w:rPr>
        <w:t xml:space="preserve"> is a health care service. CTS</w:t>
      </w:r>
      <w:r>
        <w:rPr>
          <w:sz w:val="24"/>
          <w:szCs w:val="24"/>
        </w:rPr>
        <w:t xml:space="preserve"> staff also make referrals to health and social services and provide primary care to service users</w:t>
      </w:r>
      <w:r w:rsidR="00F62C5E">
        <w:rPr>
          <w:sz w:val="24"/>
          <w:szCs w:val="24"/>
        </w:rPr>
        <w:t xml:space="preserve"> directly</w:t>
      </w:r>
      <w:r>
        <w:rPr>
          <w:sz w:val="24"/>
          <w:szCs w:val="24"/>
        </w:rPr>
        <w:t xml:space="preserve">  </w:t>
      </w:r>
    </w:p>
    <w:p w:rsidR="00F62C5E" w:rsidRPr="00F62C5E" w:rsidRDefault="00F62C5E" w:rsidP="00515202">
      <w:pPr>
        <w:pStyle w:val="ListParagraph"/>
        <w:numPr>
          <w:ilvl w:val="0"/>
          <w:numId w:val="45"/>
        </w:numPr>
        <w:ind w:right="0"/>
        <w:rPr>
          <w:sz w:val="24"/>
          <w:szCs w:val="24"/>
        </w:rPr>
      </w:pPr>
      <w:r w:rsidRPr="00F62C5E">
        <w:rPr>
          <w:sz w:val="24"/>
          <w:szCs w:val="24"/>
        </w:rPr>
        <w:t>In 2022, CTS staff made the following referrals to health and social services:</w:t>
      </w:r>
    </w:p>
    <w:p w:rsidR="00F62C5E" w:rsidRPr="00F62C5E" w:rsidRDefault="00F62C5E" w:rsidP="00515202">
      <w:pPr>
        <w:pStyle w:val="ListParagraph"/>
        <w:numPr>
          <w:ilvl w:val="1"/>
          <w:numId w:val="45"/>
        </w:numPr>
        <w:ind w:right="0"/>
        <w:rPr>
          <w:sz w:val="24"/>
          <w:szCs w:val="24"/>
        </w:rPr>
      </w:pPr>
      <w:r w:rsidRPr="00F62C5E">
        <w:rPr>
          <w:sz w:val="24"/>
          <w:szCs w:val="24"/>
        </w:rPr>
        <w:t>59 to substance use services (detox, treatment program, methadone, safer supply)</w:t>
      </w:r>
    </w:p>
    <w:p w:rsidR="00F62C5E" w:rsidRPr="00F62C5E" w:rsidRDefault="00F62C5E" w:rsidP="00515202">
      <w:pPr>
        <w:pStyle w:val="ListParagraph"/>
        <w:numPr>
          <w:ilvl w:val="1"/>
          <w:numId w:val="45"/>
        </w:numPr>
        <w:ind w:right="0"/>
        <w:rPr>
          <w:sz w:val="24"/>
          <w:szCs w:val="24"/>
        </w:rPr>
      </w:pPr>
      <w:r w:rsidRPr="00F62C5E">
        <w:rPr>
          <w:sz w:val="24"/>
          <w:szCs w:val="24"/>
        </w:rPr>
        <w:t>11 referrals to mental health services (case management, treatment program)</w:t>
      </w:r>
    </w:p>
    <w:p w:rsidR="00F62C5E" w:rsidRPr="00F62C5E" w:rsidRDefault="00F62C5E" w:rsidP="00515202">
      <w:pPr>
        <w:pStyle w:val="ListParagraph"/>
        <w:numPr>
          <w:ilvl w:val="1"/>
          <w:numId w:val="45"/>
        </w:numPr>
        <w:ind w:right="0"/>
        <w:rPr>
          <w:sz w:val="24"/>
          <w:szCs w:val="24"/>
        </w:rPr>
      </w:pPr>
      <w:r w:rsidRPr="00F62C5E">
        <w:rPr>
          <w:sz w:val="24"/>
          <w:szCs w:val="24"/>
        </w:rPr>
        <w:t>124 referrals to primary care and hospital services</w:t>
      </w:r>
    </w:p>
    <w:p w:rsidR="00F62C5E" w:rsidRPr="00F62C5E" w:rsidRDefault="00F62C5E" w:rsidP="00515202">
      <w:pPr>
        <w:pStyle w:val="ListParagraph"/>
        <w:numPr>
          <w:ilvl w:val="1"/>
          <w:numId w:val="45"/>
        </w:numPr>
        <w:ind w:right="0"/>
        <w:rPr>
          <w:sz w:val="24"/>
          <w:szCs w:val="24"/>
        </w:rPr>
      </w:pPr>
      <w:r w:rsidRPr="00F62C5E">
        <w:rPr>
          <w:sz w:val="24"/>
          <w:szCs w:val="24"/>
        </w:rPr>
        <w:t>101 referrals to social services (Indigenous health promoter, shelter, group programs, ID replacement, legal support, social assistance support, housing)</w:t>
      </w:r>
    </w:p>
    <w:p w:rsidR="001B365C" w:rsidRPr="00544506" w:rsidRDefault="00544506" w:rsidP="00515202">
      <w:pPr>
        <w:pStyle w:val="ListParagraph"/>
        <w:numPr>
          <w:ilvl w:val="0"/>
          <w:numId w:val="45"/>
        </w:numPr>
        <w:ind w:right="0"/>
        <w:rPr>
          <w:sz w:val="24"/>
          <w:szCs w:val="24"/>
        </w:rPr>
      </w:pPr>
      <w:r>
        <w:rPr>
          <w:sz w:val="24"/>
          <w:szCs w:val="24"/>
        </w:rPr>
        <w:t>Preliminary data by r</w:t>
      </w:r>
      <w:r w:rsidR="001B365C" w:rsidRPr="00544506">
        <w:rPr>
          <w:sz w:val="24"/>
          <w:szCs w:val="24"/>
        </w:rPr>
        <w:t>esearch</w:t>
      </w:r>
      <w:r>
        <w:rPr>
          <w:sz w:val="24"/>
          <w:szCs w:val="24"/>
        </w:rPr>
        <w:t>ers at Unity Health who are conducting the evaluation of supervised consumption services in Toronto</w:t>
      </w:r>
      <w:r w:rsidR="001B365C" w:rsidRPr="00544506">
        <w:rPr>
          <w:sz w:val="24"/>
          <w:szCs w:val="24"/>
        </w:rPr>
        <w:t xml:space="preserve"> found that </w:t>
      </w:r>
      <w:r>
        <w:rPr>
          <w:sz w:val="24"/>
          <w:szCs w:val="24"/>
        </w:rPr>
        <w:t xml:space="preserve">the </w:t>
      </w:r>
      <w:r w:rsidR="001B365C" w:rsidRPr="00544506">
        <w:rPr>
          <w:sz w:val="24"/>
          <w:szCs w:val="24"/>
        </w:rPr>
        <w:t>proportion of service users who participated in a drug/alcohol treatment or detox program in the last six months was significantly greater than the proportion of non-service users:</w:t>
      </w:r>
    </w:p>
    <w:p w:rsidR="001B365C" w:rsidRPr="00544506" w:rsidRDefault="001B365C" w:rsidP="00515202">
      <w:pPr>
        <w:numPr>
          <w:ilvl w:val="1"/>
          <w:numId w:val="45"/>
        </w:numPr>
        <w:ind w:right="0"/>
        <w:rPr>
          <w:rFonts w:ascii="Calibri" w:eastAsia="Calibri" w:hAnsi="Calibri" w:cs="Calibri"/>
          <w:sz w:val="24"/>
          <w:szCs w:val="24"/>
        </w:rPr>
      </w:pPr>
      <w:r w:rsidRPr="00544506">
        <w:rPr>
          <w:sz w:val="24"/>
          <w:szCs w:val="24"/>
        </w:rPr>
        <w:t>53% of recent SCS service users vs. 43% of non-service users recently participated in a drug/alcohol treatment or detox program</w:t>
      </w:r>
    </w:p>
    <w:p w:rsidR="001B365C" w:rsidRPr="00544506" w:rsidRDefault="001B365C" w:rsidP="00515202">
      <w:pPr>
        <w:numPr>
          <w:ilvl w:val="1"/>
          <w:numId w:val="45"/>
        </w:numPr>
        <w:ind w:right="0"/>
        <w:rPr>
          <w:rFonts w:ascii="Calibri" w:eastAsia="Calibri" w:hAnsi="Calibri" w:cs="Calibri"/>
          <w:sz w:val="24"/>
          <w:szCs w:val="24"/>
        </w:rPr>
      </w:pPr>
      <w:r w:rsidRPr="00544506">
        <w:rPr>
          <w:sz w:val="24"/>
          <w:szCs w:val="24"/>
        </w:rPr>
        <w:t>38% of recent SCS service users vs. 25% of non-service users participated in a methadone maintenance program in the last 6 months</w:t>
      </w:r>
    </w:p>
    <w:p w:rsidR="00475F78" w:rsidRDefault="00475F78" w:rsidP="008316F1">
      <w:pPr>
        <w:ind w:left="0" w:right="0"/>
      </w:pPr>
    </w:p>
    <w:p w:rsidR="00475F78" w:rsidRDefault="00475F78" w:rsidP="00475F78">
      <w:pPr>
        <w:ind w:left="0" w:right="0"/>
      </w:pPr>
    </w:p>
    <w:p w:rsidR="00AC6354" w:rsidRDefault="00AC6354" w:rsidP="001B365C">
      <w:pPr>
        <w:ind w:left="0" w:right="0"/>
      </w:pPr>
    </w:p>
    <w:sectPr w:rsidR="00AC6354" w:rsidSect="001779B7">
      <w:footerReference w:type="default" r:id="rId11"/>
      <w:pgSz w:w="12240" w:h="15840"/>
      <w:pgMar w:top="720" w:right="720" w:bottom="720" w:left="720"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325" w:rsidRDefault="006C1325" w:rsidP="00551B36">
      <w:pPr>
        <w:spacing w:line="240" w:lineRule="auto"/>
      </w:pPr>
      <w:r>
        <w:separator/>
      </w:r>
    </w:p>
  </w:endnote>
  <w:endnote w:type="continuationSeparator" w:id="0">
    <w:p w:rsidR="006C1325" w:rsidRDefault="006C1325" w:rsidP="00551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w:altName w:val="Calibri"/>
    <w:charset w:val="00"/>
    <w:family w:val="auto"/>
    <w:pitch w:val="default"/>
  </w:font>
  <w:font w:name="Montserrat Medium">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988927"/>
      <w:docPartObj>
        <w:docPartGallery w:val="Page Numbers (Bottom of Page)"/>
        <w:docPartUnique/>
      </w:docPartObj>
    </w:sdtPr>
    <w:sdtEndPr>
      <w:rPr>
        <w:noProof/>
      </w:rPr>
    </w:sdtEndPr>
    <w:sdtContent>
      <w:p w:rsidR="00515202" w:rsidRDefault="00515202">
        <w:pPr>
          <w:pStyle w:val="Footer"/>
        </w:pPr>
        <w:r>
          <w:fldChar w:fldCharType="begin"/>
        </w:r>
        <w:r>
          <w:instrText xml:space="preserve"> PAGE   \* MERGEFORMAT </w:instrText>
        </w:r>
        <w:r>
          <w:fldChar w:fldCharType="separate"/>
        </w:r>
        <w:r w:rsidR="00652501">
          <w:rPr>
            <w:noProof/>
          </w:rPr>
          <w:t>3</w:t>
        </w:r>
        <w:r>
          <w:rPr>
            <w:noProof/>
          </w:rPr>
          <w:fldChar w:fldCharType="end"/>
        </w:r>
      </w:p>
    </w:sdtContent>
  </w:sdt>
  <w:p w:rsidR="00515202" w:rsidRDefault="00515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325" w:rsidRDefault="006C1325" w:rsidP="00551B36">
      <w:pPr>
        <w:spacing w:line="240" w:lineRule="auto"/>
      </w:pPr>
      <w:r>
        <w:separator/>
      </w:r>
    </w:p>
  </w:footnote>
  <w:footnote w:type="continuationSeparator" w:id="0">
    <w:p w:rsidR="006C1325" w:rsidRDefault="006C1325" w:rsidP="00551B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A62"/>
    <w:multiLevelType w:val="multilevel"/>
    <w:tmpl w:val="131685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6AC11A9"/>
    <w:multiLevelType w:val="multilevel"/>
    <w:tmpl w:val="6798B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AC25A1"/>
    <w:multiLevelType w:val="multilevel"/>
    <w:tmpl w:val="86306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AD15E7"/>
    <w:multiLevelType w:val="multilevel"/>
    <w:tmpl w:val="D8CEC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91BE6"/>
    <w:multiLevelType w:val="multilevel"/>
    <w:tmpl w:val="E1C8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62E8D"/>
    <w:multiLevelType w:val="multilevel"/>
    <w:tmpl w:val="398E6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4B76DD"/>
    <w:multiLevelType w:val="multilevel"/>
    <w:tmpl w:val="8CC6F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9C326F"/>
    <w:multiLevelType w:val="hybridMultilevel"/>
    <w:tmpl w:val="28909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A05752"/>
    <w:multiLevelType w:val="multilevel"/>
    <w:tmpl w:val="5C906E7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724E0C"/>
    <w:multiLevelType w:val="multilevel"/>
    <w:tmpl w:val="CDD6317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22221A7C"/>
    <w:multiLevelType w:val="multilevel"/>
    <w:tmpl w:val="5FD60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63399D"/>
    <w:multiLevelType w:val="hybridMultilevel"/>
    <w:tmpl w:val="D558396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7E822A5"/>
    <w:multiLevelType w:val="hybridMultilevel"/>
    <w:tmpl w:val="A95240D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8F211A6"/>
    <w:multiLevelType w:val="multilevel"/>
    <w:tmpl w:val="A6C67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CB3EC1"/>
    <w:multiLevelType w:val="multilevel"/>
    <w:tmpl w:val="454E3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AA4BF7"/>
    <w:multiLevelType w:val="multilevel"/>
    <w:tmpl w:val="0CCC3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2911C6"/>
    <w:multiLevelType w:val="multilevel"/>
    <w:tmpl w:val="16FAE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F95C00"/>
    <w:multiLevelType w:val="multilevel"/>
    <w:tmpl w:val="67B8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4183E"/>
    <w:multiLevelType w:val="multilevel"/>
    <w:tmpl w:val="7132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90F5A"/>
    <w:multiLevelType w:val="multilevel"/>
    <w:tmpl w:val="31B6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8447F"/>
    <w:multiLevelType w:val="multilevel"/>
    <w:tmpl w:val="1B4EC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71648E"/>
    <w:multiLevelType w:val="hybridMultilevel"/>
    <w:tmpl w:val="A8880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2B46A3"/>
    <w:multiLevelType w:val="multilevel"/>
    <w:tmpl w:val="3438C9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49341223"/>
    <w:multiLevelType w:val="multilevel"/>
    <w:tmpl w:val="17A69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3735F6"/>
    <w:multiLevelType w:val="multilevel"/>
    <w:tmpl w:val="D36212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F0D7A70"/>
    <w:multiLevelType w:val="multilevel"/>
    <w:tmpl w:val="EDF21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B20662"/>
    <w:multiLevelType w:val="hybridMultilevel"/>
    <w:tmpl w:val="21F8A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3146542"/>
    <w:multiLevelType w:val="hybridMultilevel"/>
    <w:tmpl w:val="DA242B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55D33C3E"/>
    <w:multiLevelType w:val="multilevel"/>
    <w:tmpl w:val="A9300756"/>
    <w:lvl w:ilvl="0">
      <w:start w:val="1"/>
      <w:numFmt w:val="bullet"/>
      <w:lvlText w:val="●"/>
      <w:lvlJc w:val="left"/>
      <w:pPr>
        <w:ind w:left="720" w:hanging="360"/>
      </w:pPr>
      <w:rPr>
        <w:rFonts w:ascii="Arial" w:eastAsia="Arial" w:hAnsi="Arial" w:cs="Arial"/>
        <w:color w:val="40404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D12F72"/>
    <w:multiLevelType w:val="multilevel"/>
    <w:tmpl w:val="A4DE6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6014BA"/>
    <w:multiLevelType w:val="multilevel"/>
    <w:tmpl w:val="A5C27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891C5C"/>
    <w:multiLevelType w:val="multilevel"/>
    <w:tmpl w:val="72E05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672AA7"/>
    <w:multiLevelType w:val="multilevel"/>
    <w:tmpl w:val="2AEC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44271"/>
    <w:multiLevelType w:val="multilevel"/>
    <w:tmpl w:val="6936B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7A86BA5"/>
    <w:multiLevelType w:val="hybridMultilevel"/>
    <w:tmpl w:val="DFEE56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9DA126B"/>
    <w:multiLevelType w:val="multilevel"/>
    <w:tmpl w:val="76FAA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1366AD"/>
    <w:multiLevelType w:val="hybridMultilevel"/>
    <w:tmpl w:val="A37C4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6CD69D0"/>
    <w:multiLevelType w:val="multilevel"/>
    <w:tmpl w:val="2D5C8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013BC5"/>
    <w:multiLevelType w:val="multilevel"/>
    <w:tmpl w:val="6D826BA4"/>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39" w15:restartNumberingAfterBreak="0">
    <w:nsid w:val="783907FC"/>
    <w:multiLevelType w:val="multilevel"/>
    <w:tmpl w:val="EE443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DE91E73"/>
    <w:multiLevelType w:val="multilevel"/>
    <w:tmpl w:val="C4FA4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500D21"/>
    <w:multiLevelType w:val="multilevel"/>
    <w:tmpl w:val="A0A8F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8B7B46"/>
    <w:multiLevelType w:val="hybridMultilevel"/>
    <w:tmpl w:val="E710D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E8C0B78"/>
    <w:multiLevelType w:val="hybridMultilevel"/>
    <w:tmpl w:val="55D4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4"/>
  </w:num>
  <w:num w:numId="4">
    <w:abstractNumId w:val="23"/>
  </w:num>
  <w:num w:numId="5">
    <w:abstractNumId w:val="15"/>
  </w:num>
  <w:num w:numId="6">
    <w:abstractNumId w:val="3"/>
  </w:num>
  <w:num w:numId="7">
    <w:abstractNumId w:val="40"/>
  </w:num>
  <w:num w:numId="8">
    <w:abstractNumId w:val="29"/>
  </w:num>
  <w:num w:numId="9">
    <w:abstractNumId w:val="33"/>
  </w:num>
  <w:num w:numId="10">
    <w:abstractNumId w:val="6"/>
  </w:num>
  <w:num w:numId="11">
    <w:abstractNumId w:val="0"/>
  </w:num>
  <w:num w:numId="12">
    <w:abstractNumId w:val="20"/>
  </w:num>
  <w:num w:numId="13">
    <w:abstractNumId w:val="30"/>
  </w:num>
  <w:num w:numId="14">
    <w:abstractNumId w:val="41"/>
  </w:num>
  <w:num w:numId="15">
    <w:abstractNumId w:val="9"/>
  </w:num>
  <w:num w:numId="16">
    <w:abstractNumId w:val="2"/>
  </w:num>
  <w:num w:numId="17">
    <w:abstractNumId w:val="25"/>
  </w:num>
  <w:num w:numId="18">
    <w:abstractNumId w:val="28"/>
  </w:num>
  <w:num w:numId="19">
    <w:abstractNumId w:val="39"/>
  </w:num>
  <w:num w:numId="20">
    <w:abstractNumId w:val="14"/>
  </w:num>
  <w:num w:numId="21">
    <w:abstractNumId w:val="10"/>
  </w:num>
  <w:num w:numId="22">
    <w:abstractNumId w:val="5"/>
  </w:num>
  <w:num w:numId="23">
    <w:abstractNumId w:val="31"/>
  </w:num>
  <w:num w:numId="24">
    <w:abstractNumId w:val="22"/>
  </w:num>
  <w:num w:numId="25">
    <w:abstractNumId w:val="16"/>
  </w:num>
  <w:num w:numId="26">
    <w:abstractNumId w:val="37"/>
  </w:num>
  <w:num w:numId="27">
    <w:abstractNumId w:val="11"/>
  </w:num>
  <w:num w:numId="28">
    <w:abstractNumId w:val="26"/>
  </w:num>
  <w:num w:numId="29">
    <w:abstractNumId w:val="35"/>
  </w:num>
  <w:num w:numId="30">
    <w:abstractNumId w:val="13"/>
  </w:num>
  <w:num w:numId="31">
    <w:abstractNumId w:val="38"/>
  </w:num>
  <w:num w:numId="32">
    <w:abstractNumId w:val="21"/>
  </w:num>
  <w:num w:numId="33">
    <w:abstractNumId w:val="36"/>
  </w:num>
  <w:num w:numId="34">
    <w:abstractNumId w:val="19"/>
  </w:num>
  <w:num w:numId="35">
    <w:abstractNumId w:val="18"/>
  </w:num>
  <w:num w:numId="36">
    <w:abstractNumId w:val="4"/>
  </w:num>
  <w:num w:numId="37">
    <w:abstractNumId w:val="32"/>
  </w:num>
  <w:num w:numId="38">
    <w:abstractNumId w:val="17"/>
  </w:num>
  <w:num w:numId="39">
    <w:abstractNumId w:val="42"/>
  </w:num>
  <w:num w:numId="40">
    <w:abstractNumId w:val="35"/>
  </w:num>
  <w:num w:numId="41">
    <w:abstractNumId w:val="13"/>
  </w:num>
  <w:num w:numId="42">
    <w:abstractNumId w:val="38"/>
  </w:num>
  <w:num w:numId="43">
    <w:abstractNumId w:val="27"/>
  </w:num>
  <w:num w:numId="44">
    <w:abstractNumId w:val="7"/>
  </w:num>
  <w:num w:numId="45">
    <w:abstractNumId w:val="34"/>
  </w:num>
  <w:num w:numId="46">
    <w:abstractNumId w:val="12"/>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54"/>
    <w:rsid w:val="00003D82"/>
    <w:rsid w:val="0002032C"/>
    <w:rsid w:val="000A69E2"/>
    <w:rsid w:val="000C5DFD"/>
    <w:rsid w:val="000D6D2C"/>
    <w:rsid w:val="001779B7"/>
    <w:rsid w:val="001B365C"/>
    <w:rsid w:val="00237E6B"/>
    <w:rsid w:val="002B61B5"/>
    <w:rsid w:val="0036022F"/>
    <w:rsid w:val="003A0ABB"/>
    <w:rsid w:val="003B322A"/>
    <w:rsid w:val="00457C8A"/>
    <w:rsid w:val="00475F78"/>
    <w:rsid w:val="004E28A8"/>
    <w:rsid w:val="00514BD4"/>
    <w:rsid w:val="00515202"/>
    <w:rsid w:val="00544506"/>
    <w:rsid w:val="00545F86"/>
    <w:rsid w:val="00551B36"/>
    <w:rsid w:val="005558E3"/>
    <w:rsid w:val="0056203C"/>
    <w:rsid w:val="00652501"/>
    <w:rsid w:val="00696C35"/>
    <w:rsid w:val="006C1325"/>
    <w:rsid w:val="006E5555"/>
    <w:rsid w:val="0076258A"/>
    <w:rsid w:val="00780C12"/>
    <w:rsid w:val="00785783"/>
    <w:rsid w:val="008316F1"/>
    <w:rsid w:val="00857CA6"/>
    <w:rsid w:val="00875532"/>
    <w:rsid w:val="00892C55"/>
    <w:rsid w:val="008A7C52"/>
    <w:rsid w:val="00951960"/>
    <w:rsid w:val="00A10D6A"/>
    <w:rsid w:val="00AC6354"/>
    <w:rsid w:val="00B00547"/>
    <w:rsid w:val="00B15A4A"/>
    <w:rsid w:val="00B64804"/>
    <w:rsid w:val="00B85643"/>
    <w:rsid w:val="00BD5849"/>
    <w:rsid w:val="00C4205E"/>
    <w:rsid w:val="00C6021A"/>
    <w:rsid w:val="00D14F6E"/>
    <w:rsid w:val="00D5773E"/>
    <w:rsid w:val="00D727B1"/>
    <w:rsid w:val="00DE1258"/>
    <w:rsid w:val="00DF55BB"/>
    <w:rsid w:val="00E23C1D"/>
    <w:rsid w:val="00E54A2B"/>
    <w:rsid w:val="00E839C6"/>
    <w:rsid w:val="00F04EA7"/>
    <w:rsid w:val="00F24C57"/>
    <w:rsid w:val="00F30E8C"/>
    <w:rsid w:val="00F420C7"/>
    <w:rsid w:val="00F62C5E"/>
    <w:rsid w:val="00FA1653"/>
    <w:rsid w:val="00FB7633"/>
    <w:rsid w:val="00FD4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DE08F"/>
  <w15:docId w15:val="{5329FA17-47F6-4FF7-A0A4-D72FB9B4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Montserrat" w:hAnsi="Montserrat" w:cs="Montserrat"/>
        <w:sz w:val="18"/>
        <w:szCs w:val="18"/>
        <w:lang w:val="en-GB" w:eastAsia="en-CA" w:bidi="ar-SA"/>
      </w:rPr>
    </w:rPrDefault>
    <w:pPrDefault>
      <w:pPr>
        <w:spacing w:line="276" w:lineRule="auto"/>
        <w:ind w:left="360" w:right="18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28"/>
      <w:szCs w:val="28"/>
      <w:shd w:val="clear" w:color="auto" w:fill="FFD966"/>
    </w:rPr>
  </w:style>
  <w:style w:type="paragraph" w:styleId="Heading2">
    <w:name w:val="heading 2"/>
    <w:basedOn w:val="Normal"/>
    <w:next w:val="Normal"/>
    <w:uiPriority w:val="9"/>
    <w:semiHidden/>
    <w:unhideWhenUsed/>
    <w:qFormat/>
    <w:pPr>
      <w:keepNext/>
      <w:keepLines/>
      <w:spacing w:after="200" w:line="240" w:lineRule="auto"/>
      <w:outlineLvl w:val="1"/>
    </w:pPr>
    <w:rPr>
      <w:sz w:val="22"/>
      <w:szCs w:val="22"/>
    </w:rPr>
  </w:style>
  <w:style w:type="paragraph" w:styleId="Heading3">
    <w:name w:val="heading 3"/>
    <w:basedOn w:val="Normal"/>
    <w:next w:val="Normal"/>
    <w:uiPriority w:val="9"/>
    <w:semiHidden/>
    <w:unhideWhenUsed/>
    <w:qFormat/>
    <w:pPr>
      <w:keepNext/>
      <w:keepLines/>
      <w:spacing w:after="200" w:line="240" w:lineRule="auto"/>
      <w:outlineLvl w:val="2"/>
    </w:pPr>
    <w:rPr>
      <w:rFonts w:ascii="Montserrat Medium" w:eastAsia="Montserrat Medium" w:hAnsi="Montserrat Medium" w:cs="Montserrat Medium"/>
    </w:rPr>
  </w:style>
  <w:style w:type="paragraph" w:styleId="Heading4">
    <w:name w:val="heading 4"/>
    <w:basedOn w:val="Normal"/>
    <w:next w:val="Normal"/>
    <w:uiPriority w:val="9"/>
    <w:semiHidden/>
    <w:unhideWhenUsed/>
    <w:qFormat/>
    <w:pPr>
      <w:keepNext/>
      <w:keepLines/>
      <w:spacing w:after="200" w:line="240" w:lineRule="auto"/>
      <w:ind w:left="720" w:hanging="360"/>
      <w:outlineLvl w:val="3"/>
    </w:pPr>
  </w:style>
  <w:style w:type="paragraph" w:styleId="Heading5">
    <w:name w:val="heading 5"/>
    <w:basedOn w:val="Normal"/>
    <w:next w:val="Normal"/>
    <w:uiPriority w:val="9"/>
    <w:semiHidden/>
    <w:unhideWhenUsed/>
    <w:qFormat/>
    <w:pPr>
      <w:keepNext/>
      <w:keepLines/>
      <w:spacing w:before="400" w:after="120"/>
      <w:outlineLvl w:val="4"/>
    </w:pPr>
    <w:rPr>
      <w:b/>
      <w:shd w:val="clear" w:color="auto" w:fill="FFD966"/>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85783"/>
    <w:rPr>
      <w:rFonts w:ascii="Segoe UI" w:hAnsi="Segoe UI" w:cs="Segoe UI"/>
    </w:rPr>
  </w:style>
  <w:style w:type="paragraph" w:styleId="ListParagraph">
    <w:name w:val="List Paragraph"/>
    <w:basedOn w:val="Normal"/>
    <w:uiPriority w:val="34"/>
    <w:qFormat/>
    <w:rsid w:val="00785783"/>
    <w:pPr>
      <w:ind w:left="720"/>
      <w:contextualSpacing/>
    </w:pPr>
  </w:style>
  <w:style w:type="paragraph" w:styleId="CommentSubject">
    <w:name w:val="annotation subject"/>
    <w:basedOn w:val="CommentText"/>
    <w:next w:val="CommentText"/>
    <w:link w:val="CommentSubjectChar"/>
    <w:uiPriority w:val="99"/>
    <w:semiHidden/>
    <w:unhideWhenUsed/>
    <w:rsid w:val="00D14F6E"/>
    <w:rPr>
      <w:b/>
      <w:bCs/>
    </w:rPr>
  </w:style>
  <w:style w:type="character" w:customStyle="1" w:styleId="CommentSubjectChar">
    <w:name w:val="Comment Subject Char"/>
    <w:basedOn w:val="CommentTextChar"/>
    <w:link w:val="CommentSubject"/>
    <w:uiPriority w:val="99"/>
    <w:semiHidden/>
    <w:rsid w:val="00D14F6E"/>
    <w:rPr>
      <w:b/>
      <w:bCs/>
      <w:sz w:val="20"/>
      <w:szCs w:val="20"/>
    </w:rPr>
  </w:style>
  <w:style w:type="character" w:styleId="Hyperlink">
    <w:name w:val="Hyperlink"/>
    <w:basedOn w:val="DefaultParagraphFont"/>
    <w:uiPriority w:val="99"/>
    <w:unhideWhenUsed/>
    <w:rsid w:val="00C6021A"/>
    <w:rPr>
      <w:color w:val="0000FF" w:themeColor="hyperlink"/>
      <w:u w:val="single"/>
    </w:rPr>
  </w:style>
  <w:style w:type="character" w:customStyle="1" w:styleId="apple-converted-space">
    <w:name w:val="apple-converted-space"/>
    <w:basedOn w:val="DefaultParagraphFont"/>
    <w:rsid w:val="00C6021A"/>
  </w:style>
  <w:style w:type="paragraph" w:styleId="NormalWeb">
    <w:name w:val="Normal (Web)"/>
    <w:basedOn w:val="Normal"/>
    <w:uiPriority w:val="99"/>
    <w:semiHidden/>
    <w:unhideWhenUsed/>
    <w:rsid w:val="00C6021A"/>
    <w:pPr>
      <w:spacing w:before="100" w:beforeAutospacing="1" w:after="100" w:afterAutospacing="1" w:line="240" w:lineRule="auto"/>
      <w:ind w:left="0" w:right="0"/>
    </w:pPr>
    <w:rPr>
      <w:rFonts w:ascii="Times New Roman" w:eastAsia="Times New Roman" w:hAnsi="Times New Roman" w:cs="Times New Roman"/>
      <w:sz w:val="24"/>
      <w:szCs w:val="24"/>
      <w:lang w:val="en-CA"/>
    </w:rPr>
  </w:style>
  <w:style w:type="character" w:customStyle="1" w:styleId="UnresolvedMention1">
    <w:name w:val="Unresolved Mention1"/>
    <w:basedOn w:val="DefaultParagraphFont"/>
    <w:uiPriority w:val="99"/>
    <w:semiHidden/>
    <w:unhideWhenUsed/>
    <w:rsid w:val="000C5DFD"/>
    <w:rPr>
      <w:color w:val="605E5C"/>
      <w:shd w:val="clear" w:color="auto" w:fill="E1DFDD"/>
    </w:rPr>
  </w:style>
  <w:style w:type="paragraph" w:styleId="EndnoteText">
    <w:name w:val="endnote text"/>
    <w:basedOn w:val="Normal"/>
    <w:link w:val="EndnoteTextChar"/>
    <w:uiPriority w:val="99"/>
    <w:semiHidden/>
    <w:unhideWhenUsed/>
    <w:rsid w:val="00551B36"/>
    <w:pPr>
      <w:spacing w:line="240" w:lineRule="auto"/>
    </w:pPr>
    <w:rPr>
      <w:sz w:val="20"/>
      <w:szCs w:val="20"/>
    </w:rPr>
  </w:style>
  <w:style w:type="character" w:customStyle="1" w:styleId="EndnoteTextChar">
    <w:name w:val="Endnote Text Char"/>
    <w:basedOn w:val="DefaultParagraphFont"/>
    <w:link w:val="EndnoteText"/>
    <w:uiPriority w:val="99"/>
    <w:semiHidden/>
    <w:rsid w:val="00551B36"/>
    <w:rPr>
      <w:sz w:val="20"/>
      <w:szCs w:val="20"/>
    </w:rPr>
  </w:style>
  <w:style w:type="character" w:styleId="EndnoteReference">
    <w:name w:val="endnote reference"/>
    <w:basedOn w:val="DefaultParagraphFont"/>
    <w:uiPriority w:val="99"/>
    <w:semiHidden/>
    <w:unhideWhenUsed/>
    <w:rsid w:val="00551B36"/>
    <w:rPr>
      <w:vertAlign w:val="superscript"/>
    </w:rPr>
  </w:style>
  <w:style w:type="paragraph" w:styleId="FootnoteText">
    <w:name w:val="footnote text"/>
    <w:basedOn w:val="Normal"/>
    <w:link w:val="FootnoteTextChar"/>
    <w:uiPriority w:val="99"/>
    <w:semiHidden/>
    <w:unhideWhenUsed/>
    <w:rsid w:val="00551B36"/>
    <w:pPr>
      <w:spacing w:line="240" w:lineRule="auto"/>
    </w:pPr>
    <w:rPr>
      <w:sz w:val="20"/>
      <w:szCs w:val="20"/>
    </w:rPr>
  </w:style>
  <w:style w:type="character" w:customStyle="1" w:styleId="FootnoteTextChar">
    <w:name w:val="Footnote Text Char"/>
    <w:basedOn w:val="DefaultParagraphFont"/>
    <w:link w:val="FootnoteText"/>
    <w:uiPriority w:val="99"/>
    <w:semiHidden/>
    <w:rsid w:val="00551B36"/>
    <w:rPr>
      <w:sz w:val="20"/>
      <w:szCs w:val="20"/>
    </w:rPr>
  </w:style>
  <w:style w:type="character" w:styleId="FootnoteReference">
    <w:name w:val="footnote reference"/>
    <w:basedOn w:val="DefaultParagraphFont"/>
    <w:uiPriority w:val="99"/>
    <w:semiHidden/>
    <w:unhideWhenUsed/>
    <w:rsid w:val="00551B36"/>
    <w:rPr>
      <w:vertAlign w:val="superscript"/>
    </w:rPr>
  </w:style>
  <w:style w:type="paragraph" w:styleId="Header">
    <w:name w:val="header"/>
    <w:basedOn w:val="Normal"/>
    <w:link w:val="HeaderChar"/>
    <w:uiPriority w:val="99"/>
    <w:unhideWhenUsed/>
    <w:rsid w:val="00E839C6"/>
    <w:pPr>
      <w:tabs>
        <w:tab w:val="center" w:pos="4680"/>
        <w:tab w:val="right" w:pos="9360"/>
      </w:tabs>
      <w:spacing w:line="240" w:lineRule="auto"/>
    </w:pPr>
  </w:style>
  <w:style w:type="character" w:customStyle="1" w:styleId="HeaderChar">
    <w:name w:val="Header Char"/>
    <w:basedOn w:val="DefaultParagraphFont"/>
    <w:link w:val="Header"/>
    <w:uiPriority w:val="99"/>
    <w:rsid w:val="00E839C6"/>
  </w:style>
  <w:style w:type="paragraph" w:styleId="Footer">
    <w:name w:val="footer"/>
    <w:basedOn w:val="Normal"/>
    <w:link w:val="FooterChar"/>
    <w:uiPriority w:val="99"/>
    <w:unhideWhenUsed/>
    <w:rsid w:val="00E839C6"/>
    <w:pPr>
      <w:tabs>
        <w:tab w:val="center" w:pos="4680"/>
        <w:tab w:val="right" w:pos="9360"/>
      </w:tabs>
      <w:spacing w:line="240" w:lineRule="auto"/>
    </w:pPr>
  </w:style>
  <w:style w:type="character" w:customStyle="1" w:styleId="FooterChar">
    <w:name w:val="Footer Char"/>
    <w:basedOn w:val="DefaultParagraphFont"/>
    <w:link w:val="Footer"/>
    <w:uiPriority w:val="99"/>
    <w:rsid w:val="00E839C6"/>
  </w:style>
  <w:style w:type="character" w:customStyle="1" w:styleId="UnresolvedMention">
    <w:name w:val="Unresolved Mention"/>
    <w:basedOn w:val="DefaultParagraphFont"/>
    <w:uiPriority w:val="99"/>
    <w:semiHidden/>
    <w:unhideWhenUsed/>
    <w:rsid w:val="00457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72733">
      <w:bodyDiv w:val="1"/>
      <w:marLeft w:val="0"/>
      <w:marRight w:val="0"/>
      <w:marTop w:val="0"/>
      <w:marBottom w:val="0"/>
      <w:divBdr>
        <w:top w:val="none" w:sz="0" w:space="0" w:color="auto"/>
        <w:left w:val="none" w:sz="0" w:space="0" w:color="auto"/>
        <w:bottom w:val="none" w:sz="0" w:space="0" w:color="auto"/>
        <w:right w:val="none" w:sz="0" w:space="0" w:color="auto"/>
      </w:divBdr>
    </w:div>
    <w:div w:id="982810000">
      <w:bodyDiv w:val="1"/>
      <w:marLeft w:val="0"/>
      <w:marRight w:val="0"/>
      <w:marTop w:val="0"/>
      <w:marBottom w:val="0"/>
      <w:divBdr>
        <w:top w:val="none" w:sz="0" w:space="0" w:color="auto"/>
        <w:left w:val="none" w:sz="0" w:space="0" w:color="auto"/>
        <w:bottom w:val="none" w:sz="0" w:space="0" w:color="auto"/>
        <w:right w:val="none" w:sz="0" w:space="0" w:color="auto"/>
      </w:divBdr>
    </w:div>
    <w:div w:id="1651715149">
      <w:bodyDiv w:val="1"/>
      <w:marLeft w:val="0"/>
      <w:marRight w:val="0"/>
      <w:marTop w:val="0"/>
      <w:marBottom w:val="0"/>
      <w:divBdr>
        <w:top w:val="none" w:sz="0" w:space="0" w:color="auto"/>
        <w:left w:val="none" w:sz="0" w:space="0" w:color="auto"/>
        <w:bottom w:val="none" w:sz="0" w:space="0" w:color="auto"/>
        <w:right w:val="none" w:sz="0" w:space="0" w:color="auto"/>
      </w:divBdr>
    </w:div>
    <w:div w:id="1785273658">
      <w:bodyDiv w:val="1"/>
      <w:marLeft w:val="0"/>
      <w:marRight w:val="0"/>
      <w:marTop w:val="0"/>
      <w:marBottom w:val="0"/>
      <w:divBdr>
        <w:top w:val="none" w:sz="0" w:space="0" w:color="auto"/>
        <w:left w:val="none" w:sz="0" w:space="0" w:color="auto"/>
        <w:bottom w:val="none" w:sz="0" w:space="0" w:color="auto"/>
        <w:right w:val="none" w:sz="0" w:space="0" w:color="auto"/>
      </w:divBdr>
      <w:divsChild>
        <w:div w:id="1421414057">
          <w:marLeft w:val="180"/>
          <w:marRight w:val="0"/>
          <w:marTop w:val="0"/>
          <w:marBottom w:val="0"/>
          <w:divBdr>
            <w:top w:val="none" w:sz="0" w:space="0" w:color="auto"/>
            <w:left w:val="none" w:sz="0" w:space="0" w:color="auto"/>
            <w:bottom w:val="none" w:sz="0" w:space="0" w:color="auto"/>
            <w:right w:val="none" w:sz="0" w:space="0" w:color="auto"/>
          </w:divBdr>
        </w:div>
      </w:divsChild>
    </w:div>
    <w:div w:id="1958295343">
      <w:bodyDiv w:val="1"/>
      <w:marLeft w:val="0"/>
      <w:marRight w:val="0"/>
      <w:marTop w:val="0"/>
      <w:marBottom w:val="0"/>
      <w:divBdr>
        <w:top w:val="none" w:sz="0" w:space="0" w:color="auto"/>
        <w:left w:val="none" w:sz="0" w:space="0" w:color="auto"/>
        <w:bottom w:val="none" w:sz="0" w:space="0" w:color="auto"/>
        <w:right w:val="none" w:sz="0" w:space="0" w:color="auto"/>
      </w:divBdr>
      <w:divsChild>
        <w:div w:id="442191035">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oronto.ca/community-people/health-wellness-care/health-inspections-monitoring/consumption-treatment-services-cts-inspection-progra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1FC0F-7A51-4764-82E0-5270B2E3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Foley</dc:creator>
  <cp:lastModifiedBy>Emily Kidd</cp:lastModifiedBy>
  <cp:revision>9</cp:revision>
  <dcterms:created xsi:type="dcterms:W3CDTF">2023-07-26T18:21:00Z</dcterms:created>
  <dcterms:modified xsi:type="dcterms:W3CDTF">2023-07-26T18:30:00Z</dcterms:modified>
</cp:coreProperties>
</file>